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Informativa sull'utilizzo dell'Intelligenza Artificiale</w:t>
      </w:r>
    </w:p>
    <w:p>
      <w:pPr>
        <w:pStyle w:val="Author"/>
      </w:pPr>
      <w:r>
        <w:t xml:space="preserve">A-ESP — Bozza per consulenza legale</w:t>
      </w:r>
    </w:p>
    <w:p>
      <w:pPr>
        <w:pStyle w:val="Date"/>
      </w:pPr>
      <w:r>
        <w:t xml:space="preserve">14/05/2026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9" w:name="Xb2e31b288d1ba8c934019685c255fd8d062a09d"/>
    <w:p>
      <w:pPr>
        <w:pStyle w:val="Heading1"/>
      </w:pPr>
      <w:r>
        <w:t xml:space="preserve">Informativa sull’utilizzo dell’Intelligenza Artificiale</w:t>
      </w:r>
    </w:p>
    <w:p>
      <w:pPr>
        <w:pStyle w:val="FirstParagraph"/>
      </w:pPr>
      <w:r>
        <w:rPr>
          <w:b/>
          <w:bCs/>
        </w:rPr>
        <w:t xml:space="preserve">Trasparenza e diritti dell’utente nei sistemi AI di A-ESP</w:t>
      </w:r>
    </w:p>
    <w:p>
      <w:pPr>
        <w:pStyle w:val="BodyText"/>
      </w:pPr>
      <w:r>
        <w:t xml:space="preserve">Riferimenti normativi: Art. 22 GDPR (decisioni automatizzate), Regolamento UE 2024/1689 (AI Act), Linee Guida AgID sull’uso dell’IA nella PA (in fase di emanazione).</w:t>
      </w:r>
    </w:p>
    <w:p>
      <w:pPr>
        <w:pStyle w:val="BodyText"/>
      </w:pPr>
      <w:r>
        <w:rPr>
          <w:b/>
          <w:bCs/>
        </w:rPr>
        <w:t xml:space="preserve">Versione:</w:t>
      </w:r>
      <w:r>
        <w:t xml:space="preserve"> </w:t>
      </w:r>
      <w:r>
        <w:t xml:space="preserve">1.0 — DRAFT</w:t>
      </w:r>
      <w:r>
        <w:t xml:space="preserve"> </w:t>
      </w:r>
      <w:r>
        <w:rPr>
          <w:b/>
          <w:bCs/>
        </w:rPr>
        <w:t xml:space="preserve">Ultimo aggiornamento:</w:t>
      </w:r>
      <w:r>
        <w:t xml:space="preserve"> </w:t>
      </w:r>
      <w:r>
        <w:t xml:space="preserve">[DATA DI PUBBLICAZIONE]</w:t>
      </w:r>
    </w:p>
    <w:p>
      <w:r>
        <w:pict>
          <v:rect style="width:0;height:1.5pt" o:hralign="center" o:hrstd="t" o:hr="t"/>
        </w:pict>
      </w:r>
    </w:p>
    <w:bookmarkStart w:id="20" w:name="premessa"/>
    <w:p>
      <w:pPr>
        <w:pStyle w:val="Heading2"/>
      </w:pPr>
      <w:r>
        <w:t xml:space="preserve">1. Premessa</w:t>
      </w:r>
    </w:p>
    <w:p>
      <w:pPr>
        <w:pStyle w:val="FirstParagraph"/>
      </w:pPr>
      <w:r>
        <w:t xml:space="preserve">A-ESP utilizza modelli di intelligenza artificiale di terze parti per analizzare automaticamente i contenuti delle caselle email e PEC autorizzate dall’Utente ed estrarne metadati strutturati. La presente informativa descrive in modo trasparente</w:t>
      </w:r>
      <w:r>
        <w:t xml:space="preserve"> </w:t>
      </w:r>
      <w:r>
        <w:rPr>
          <w:b/>
          <w:bCs/>
        </w:rPr>
        <w:t xml:space="preserve">come, perché e con quali garanzie</w:t>
      </w:r>
      <w:r>
        <w:t xml:space="preserve"> </w:t>
      </w:r>
      <w:r>
        <w:t xml:space="preserve">l’AI è impiegata.</w:t>
      </w:r>
    </w:p>
    <w:p>
      <w:pPr>
        <w:pStyle w:val="BodyText"/>
      </w:pPr>
      <w:r>
        <w:t xml:space="preserve">Quanto segue integra e completa l’Informativa Privacy generale (</w:t>
      </w:r>
      <w:hyperlink r:id="rId19">
        <w:r>
          <w:rPr>
            <w:rStyle w:val="VerbatimChar"/>
          </w:rPr>
          <w:t xml:space="preserve">informativa-privacy.md</w:t>
        </w:r>
      </w:hyperlink>
      <w:r>
        <w:t xml:space="preserve">).</w:t>
      </w:r>
    </w:p>
    <w:p>
      <w:r>
        <w:pict>
          <v:rect style="width:0;height:1.5pt" o:hralign="center" o:hrstd="t" o:hr="t"/>
        </w:pict>
      </w:r>
    </w:p>
    <w:bookmarkEnd w:id="20"/>
    <w:bookmarkStart w:id="24" w:name="cosa-fa-lai-in-a-esp"/>
    <w:p>
      <w:pPr>
        <w:pStyle w:val="Heading2"/>
      </w:pPr>
      <w:r>
        <w:t xml:space="preserve">2. Cosa fa l’AI in A-ESP</w:t>
      </w:r>
    </w:p>
    <w:bookmarkStart w:id="21" w:name="estrazione-automatica-di-metadati"/>
    <w:p>
      <w:pPr>
        <w:pStyle w:val="Heading3"/>
      </w:pPr>
      <w:r>
        <w:t xml:space="preserve">2.1 Estrazione automatica di metadati</w:t>
      </w:r>
    </w:p>
    <w:p>
      <w:pPr>
        <w:pStyle w:val="FirstParagraph"/>
      </w:pPr>
      <w:r>
        <w:t xml:space="preserve">Per ogni messaggio nuovo nelle caselle collegate, l’AI: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Legge</w:t>
      </w:r>
      <w:r>
        <w:t xml:space="preserve"> </w:t>
      </w:r>
      <w:r>
        <w:t xml:space="preserve">il contenuto del messaggio (subject, sender, body, allegati PDF/testuali)</w:t>
      </w:r>
      <w:r>
        <w:t xml:space="preserve"> </w:t>
      </w:r>
      <w:r>
        <w:rPr>
          <w:b/>
          <w:bCs/>
        </w:rPr>
        <w:t xml:space="preserve">in transito</w:t>
      </w:r>
      <w:r>
        <w:t xml:space="preserve">, in una chiamata API stateless verso il provider LLM;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Classifica</w:t>
      </w:r>
      <w:r>
        <w:t xml:space="preserve"> </w:t>
      </w:r>
      <w:r>
        <w:t xml:space="preserve">il documento in uno dei cassetti predefiniti (C01-C14) o in una categoria personalizzata creata dall’Utente (CU01-CUn);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>Estrae dati strutturati: scadenze, importi (sia importo pieno che eventuali importi scontati con relativa scadenza dello sconto per multe Codice Strada, avvisi bonari Agenzia Entrate e ravvedimenti operosi), IBAN, codici tributo F24, codici fiscali, identificativi documenti, parti coinvolte;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Valuta</w:t>
      </w:r>
      <w:r>
        <w:t xml:space="preserve"> </w:t>
      </w:r>
      <w:r>
        <w:t xml:space="preserve">urgenza (</w:t>
      </w:r>
      <w:r>
        <w:rPr>
          <w:rStyle w:val="VerbatimChar"/>
        </w:rPr>
        <w:t xml:space="preserve">is_urgent</w:t>
      </w:r>
      <w:r>
        <w:t xml:space="preserve">) e livello di rischio (</w:t>
      </w:r>
      <w:r>
        <w:rPr>
          <w:rStyle w:val="VerbatimChar"/>
        </w:rPr>
        <w:t xml:space="preserve">risk_level: LOW/MEDIUM/HIGH</w:t>
      </w:r>
      <w:r>
        <w:t xml:space="preserve">);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Riassume</w:t>
      </w:r>
      <w:r>
        <w:t xml:space="preserve"> </w:t>
      </w:r>
      <w:r>
        <w:t xml:space="preserve">il documento in italiano in 2-3 frasi (</w:t>
      </w:r>
      <w:r>
        <w:rPr>
          <w:rStyle w:val="VerbatimChar"/>
        </w:rPr>
        <w:t xml:space="preserve">summary</w:t>
      </w:r>
      <w:r>
        <w:t xml:space="preserve">).</w:t>
      </w:r>
    </w:p>
    <w:p>
      <w:pPr>
        <w:pStyle w:val="FirstParagraph"/>
      </w:pPr>
      <w:r>
        <w:t xml:space="preserve">Il risultato è un oggetto JSON strutturato che alimenta l’archivio dell’Utente.</w:t>
      </w:r>
    </w:p>
    <w:bookmarkEnd w:id="21"/>
    <w:bookmarkStart w:id="22" w:name="embedding-semantici"/>
    <w:p>
      <w:pPr>
        <w:pStyle w:val="Heading3"/>
      </w:pPr>
      <w:r>
        <w:t xml:space="preserve">2.2 Embedding semantici</w:t>
      </w:r>
    </w:p>
    <w:p>
      <w:pPr>
        <w:pStyle w:val="FirstParagraph"/>
      </w:pPr>
      <w:r>
        <w:t xml:space="preserve">Ogni documento viene rappresentato come un</w:t>
      </w:r>
      <w:r>
        <w:t xml:space="preserve"> </w:t>
      </w:r>
      <w:r>
        <w:rPr>
          <w:b/>
          <w:bCs/>
        </w:rPr>
        <w:t xml:space="preserve">vettore numerico</w:t>
      </w:r>
      <w:r>
        <w:t xml:space="preserve"> </w:t>
      </w:r>
      <w:r>
        <w:t xml:space="preserve">di 1536 dimensioni. Questa “impronta semantica” permette ricerche del tipo “trova la fattura del commercialista di marzo” senza dover digitare parole chiave esatte. È la base tecnologica del Segretario AI.</w:t>
      </w:r>
    </w:p>
    <w:bookmarkEnd w:id="22"/>
    <w:bookmarkStart w:id="23" w:name="segretario-ai-chat"/>
    <w:p>
      <w:pPr>
        <w:pStyle w:val="Heading3"/>
      </w:pPr>
      <w:r>
        <w:t xml:space="preserve">2.3 Segretario AI (chat)</w:t>
      </w:r>
    </w:p>
    <w:p>
      <w:pPr>
        <w:pStyle w:val="FirstParagraph"/>
      </w:pPr>
      <w:r>
        <w:t xml:space="preserve">L’Utente può porre domande in linguaggio naturale sul proprio archivio. Il Segretario: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Cerca</w:t>
      </w:r>
      <w:r>
        <w:t xml:space="preserve"> </w:t>
      </w:r>
      <w:r>
        <w:t xml:space="preserve">i documenti più rilevanti per la domanda tramite similarità vettoriale (top-K);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Compone</w:t>
      </w:r>
      <w:r>
        <w:t xml:space="preserve"> </w:t>
      </w:r>
      <w:r>
        <w:t xml:space="preserve">un prompt che include i metadati dei top-K documenti come contesto;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Invia</w:t>
      </w:r>
      <w:r>
        <w:t xml:space="preserve"> </w:t>
      </w:r>
      <w:r>
        <w:t xml:space="preserve">il prompt al modello LLM, che genera una risposta in linguaggio naturale;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Cita</w:t>
      </w:r>
      <w:r>
        <w:t xml:space="preserve"> </w:t>
      </w:r>
      <w:r>
        <w:t xml:space="preserve">i documenti utilizzati (Document IRI) per trasparenza.</w:t>
      </w:r>
    </w:p>
    <w:p>
      <w:pPr>
        <w:pStyle w:val="FirstParagraph"/>
      </w:pPr>
      <w:r>
        <w:t xml:space="preserve">Il Segretario</w:t>
      </w:r>
      <w:r>
        <w:t xml:space="preserve"> </w:t>
      </w:r>
      <w:r>
        <w:rPr>
          <w:b/>
          <w:bCs/>
        </w:rPr>
        <w:t xml:space="preserve">NON ha accesso al contenuto raw</w:t>
      </w:r>
      <w:r>
        <w:t xml:space="preserve"> </w:t>
      </w:r>
      <w:r>
        <w:t xml:space="preserve">dei messaggi: lavora solo sui metadati strutturati e sugli embedding indicizzati.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quali-modelli-ai-utilizziamo"/>
    <w:p>
      <w:pPr>
        <w:pStyle w:val="Heading2"/>
      </w:pPr>
      <w:r>
        <w:t xml:space="preserve">3. Quali modelli AI utilizziamo</w:t>
      </w:r>
    </w:p>
    <w:tbl>
      <w:tblPr>
        <w:tblStyle w:val="Table"/>
        <w:tblW w:type="pct" w:w="4240"/>
        <w:tblLayout w:type="fixed"/>
        <w:tblLook w:firstRow="1" w:lastRow="0" w:firstColumn="0" w:lastColumn="0" w:noHBand="0" w:noVBand="0" w:val="0020"/>
      </w:tblPr>
      <w:tblGrid>
        <w:gridCol w:w="2238"/>
        <w:gridCol w:w="2238"/>
        <w:gridCol w:w="22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Provider</w:t>
            </w:r>
          </w:p>
        </w:tc>
        <w:tc>
          <w:tcPr/>
          <w:p>
            <w:pPr>
              <w:pStyle w:val="Compact"/>
            </w:pPr>
            <w:r>
              <w:t xml:space="preserve">Modello</w:t>
            </w:r>
          </w:p>
        </w:tc>
        <w:tc>
          <w:tcPr/>
          <w:p>
            <w:pPr>
              <w:pStyle w:val="Compact"/>
            </w:pPr>
            <w:r>
              <w:t xml:space="preserve">Uso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Anthropic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claude-haiku-4-5</w:t>
            </w:r>
            <w:r>
              <w:t xml:space="preserve"> </w:t>
            </w:r>
            <w:r>
              <w:t xml:space="preserve">(primary),</w:t>
            </w:r>
            <w:r>
              <w:t xml:space="preserve"> </w:t>
            </w:r>
            <w:r>
              <w:rPr>
                <w:rStyle w:val="VerbatimChar"/>
              </w:rPr>
              <w:t xml:space="preserve">claude-sonnet-4-6</w:t>
            </w:r>
            <w:r>
              <w:t xml:space="preserve"> </w:t>
            </w:r>
            <w:r>
              <w:t xml:space="preserve">(escalation)</w:t>
            </w:r>
          </w:p>
        </w:tc>
        <w:tc>
          <w:tcPr/>
          <w:p>
            <w:pPr>
              <w:pStyle w:val="Compact"/>
            </w:pPr>
            <w:r>
              <w:t xml:space="preserve">Estrazione metadati, Segretario AI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Google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gemini-embedding-001</w:t>
            </w:r>
          </w:p>
        </w:tc>
        <w:tc>
          <w:tcPr/>
          <w:p>
            <w:pPr>
              <w:pStyle w:val="Compact"/>
            </w:pPr>
            <w:r>
              <w:t xml:space="preserve">Generazione embedding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OpenCode (gateway)</w:t>
            </w:r>
          </w:p>
        </w:tc>
        <w:tc>
          <w:tcPr/>
          <w:p>
            <w:pPr>
              <w:pStyle w:val="Compact"/>
            </w:pPr>
            <w:r>
              <w:t xml:space="preserve">DeepSeek V4, Kimi K2.5, Qwen 3.5 (opzionali, configurabili)</w:t>
            </w:r>
          </w:p>
        </w:tc>
        <w:tc>
          <w:tcPr/>
          <w:p>
            <w:pPr>
              <w:pStyle w:val="Compact"/>
            </w:pPr>
            <w:r>
              <w:t xml:space="preserve">Provider alternativi per estrazione</w:t>
            </w:r>
          </w:p>
        </w:tc>
      </w:tr>
    </w:tbl>
    <w:p>
      <w:pPr>
        <w:pStyle w:val="BodyText"/>
      </w:pPr>
      <w:r>
        <w:t xml:space="preserve">L’elenco aggiornato è in</w:t>
      </w:r>
      <w:r>
        <w:t xml:space="preserve"> </w:t>
      </w:r>
      <w:hyperlink r:id="rId25">
        <w:r>
          <w:rPr>
            <w:rStyle w:val="VerbatimChar"/>
          </w:rPr>
          <w:t xml:space="preserve">elenco-sub-processor.md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6"/>
    <w:bookmarkStart w:id="27" w:name="garanzia-zero-data-retention-zdr"/>
    <w:p>
      <w:pPr>
        <w:pStyle w:val="Heading2"/>
      </w:pPr>
      <w:r>
        <w:t xml:space="preserve">4. Garanzia Zero Data Retention (ZDR)</w:t>
      </w:r>
    </w:p>
    <w:p>
      <w:pPr>
        <w:pStyle w:val="FirstParagraph"/>
      </w:pPr>
      <w:r>
        <w:t xml:space="preserve">Tutti i provider LLM utilizzati operano in</w:t>
      </w:r>
      <w:r>
        <w:t xml:space="preserve"> </w:t>
      </w:r>
      <w:r>
        <w:rPr>
          <w:b/>
          <w:bCs/>
        </w:rPr>
        <w:t xml:space="preserve">modalità Zero Data Retention enterprise</w:t>
      </w:r>
      <w:r>
        <w:t xml:space="preserve">:</w:t>
      </w:r>
    </w:p>
    <w:p>
      <w:pPr>
        <w:pStyle w:val="Compact"/>
        <w:numPr>
          <w:ilvl w:val="0"/>
          <w:numId w:val="1003"/>
        </w:numPr>
      </w:pPr>
      <w:r>
        <w:t xml:space="preserve">I prompt inviati e le risposte ricevute vengono</w:t>
      </w:r>
      <w:r>
        <w:t xml:space="preserve"> </w:t>
      </w:r>
      <w:r>
        <w:rPr>
          <w:b/>
          <w:bCs/>
        </w:rPr>
        <w:t xml:space="preserve">scartati immediatamente</w:t>
      </w:r>
      <w:r>
        <w:t xml:space="preserve"> </w:t>
      </w:r>
      <w:r>
        <w:t xml:space="preserve">lato fornitore al termine della chiamata API;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Nessun training</w:t>
      </w:r>
      <w:r>
        <w:t xml:space="preserve"> </w:t>
      </w:r>
      <w:r>
        <w:t xml:space="preserve">sui contenuti dell’Utente: i modelli AI non “imparano” dai messaggi privati;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Nessun fine-tuning</w:t>
      </w:r>
      <w:r>
        <w:t xml:space="preserve"> </w:t>
      </w:r>
      <w:r>
        <w:t xml:space="preserve">o miglioramento del modello sui dati dei nostri Utenti;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Nessuna conservazione lato fornitore</w:t>
      </w:r>
      <w:r>
        <w:t xml:space="preserve"> </w:t>
      </w:r>
      <w:r>
        <w:t xml:space="preserve">dopo la risposta.</w:t>
      </w:r>
    </w:p>
    <w:p>
      <w:pPr>
        <w:pStyle w:val="FirstParagraph"/>
      </w:pPr>
      <w:r>
        <w:t xml:space="preserve">Questa è una</w:t>
      </w:r>
      <w:r>
        <w:t xml:space="preserve"> </w:t>
      </w:r>
      <w:r>
        <w:rPr>
          <w:b/>
          <w:bCs/>
        </w:rPr>
        <w:t xml:space="preserve">clausola contrattuale enterprise</w:t>
      </w:r>
      <w:r>
        <w:t xml:space="preserve"> </w:t>
      </w:r>
      <w:r>
        <w:t xml:space="preserve">sottoscritta con Anthropic e attivata su Google Vertex EU. Verificabile su richiesta del consulente legale.</w:t>
      </w:r>
    </w:p>
    <w:p>
      <w:pPr>
        <w:pStyle w:val="BodyText"/>
      </w:pPr>
      <w:r>
        <w:t xml:space="preserve">A-ESP stessa, dal canto suo,</w:t>
      </w:r>
      <w:r>
        <w:t xml:space="preserve"> </w:t>
      </w:r>
      <w:r>
        <w:rPr>
          <w:b/>
          <w:bCs/>
        </w:rPr>
        <w:t xml:space="preserve">non conserva</w:t>
      </w:r>
      <w:r>
        <w:t xml:space="preserve"> </w:t>
      </w:r>
      <w:r>
        <w:t xml:space="preserve">né i prompt né le risposte: il modello “No-Storage” si estende anche all’AI. L’unica traccia delle chiamate AI sono</w:t>
      </w:r>
      <w:r>
        <w:t xml:space="preserve"> </w:t>
      </w:r>
      <w:r>
        <w:rPr>
          <w:b/>
          <w:bCs/>
        </w:rPr>
        <w:t xml:space="preserve">metriche aggregate</w:t>
      </w:r>
      <w:r>
        <w:t xml:space="preserve"> </w:t>
      </w:r>
      <w:r>
        <w:t xml:space="preserve">(modello usato, token consumati, latenza, categoria risultante) salvate in</w:t>
      </w:r>
      <w:r>
        <w:t xml:space="preserve"> </w:t>
      </w:r>
      <w:r>
        <w:rPr>
          <w:rStyle w:val="VerbatimChar"/>
        </w:rPr>
        <w:t xml:space="preserve">ai_logs</w:t>
      </w:r>
      <w:r>
        <w:t xml:space="preserve"> </w:t>
      </w:r>
      <w:r>
        <w:t xml:space="preserve">per scopi di auditing GDPR e ottimizzazione costi.</w:t>
      </w:r>
    </w:p>
    <w:p>
      <w:r>
        <w:pict>
          <v:rect style="width:0;height:1.5pt" o:hralign="center" o:hrstd="t" o:hr="t"/>
        </w:pict>
      </w:r>
    </w:p>
    <w:bookmarkEnd w:id="27"/>
    <w:bookmarkStart w:id="32" w:name="X328143a3a73f8e7162a5fa773966b3ed6c69d49"/>
    <w:p>
      <w:pPr>
        <w:pStyle w:val="Heading2"/>
      </w:pPr>
      <w:r>
        <w:t xml:space="preserve">5. Profilazione e decisione automatizzata (Art. 22 GDPR)</w:t>
      </w:r>
    </w:p>
    <w:bookmarkStart w:id="28" w:name="definizione"/>
    <w:p>
      <w:pPr>
        <w:pStyle w:val="Heading3"/>
      </w:pPr>
      <w:r>
        <w:t xml:space="preserve">5.1 Definizione</w:t>
      </w:r>
    </w:p>
    <w:p>
      <w:pPr>
        <w:pStyle w:val="FirstParagraph"/>
      </w:pPr>
      <w:r>
        <w:t xml:space="preserve">L’attività di classificazione automatica dei documenti dell’Utente configura una</w:t>
      </w:r>
      <w:r>
        <w:t xml:space="preserve"> </w:t>
      </w:r>
      <w:r>
        <w:rPr>
          <w:b/>
          <w:bCs/>
        </w:rPr>
        <w:t xml:space="preserve">forma di profilazione</w:t>
      </w:r>
      <w:r>
        <w:t xml:space="preserve"> </w:t>
      </w:r>
      <w:r>
        <w:t xml:space="preserve">ai sensi dell’Art. 4.4 GDPR: “qualsiasi forma di trattamento automatizzato di dati personali consistente nell’utilizzo di tali dati per valutare determinati aspetti personali relativi a una persona fisica” (in questo caso: organizzazione dell’archivio personale, scadenze rilevanti, livello di rischio economico personale).</w:t>
      </w:r>
    </w:p>
    <w:bookmarkEnd w:id="28"/>
    <w:bookmarkStart w:id="29" w:name="caratteristiche"/>
    <w:p>
      <w:pPr>
        <w:pStyle w:val="Heading3"/>
      </w:pPr>
      <w:r>
        <w:t xml:space="preserve">5.2 Caratteristiche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Finalità</w:t>
      </w:r>
      <w:r>
        <w:t xml:space="preserve">: organizzare e rendere consultabile l’archivio dell’Utente.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Output</w:t>
      </w:r>
      <w:r>
        <w:t xml:space="preserve">: visualizzazione organizzata in UI + notifiche di scadenza + dashboard di rischio.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Logica</w:t>
      </w:r>
      <w:r>
        <w:t xml:space="preserve">: modelli LLM commerciali con prompt di sistema descritti nella documentazione tecnica del prodotto (disponibili in</w:t>
      </w:r>
      <w:r>
        <w:t xml:space="preserve"> </w:t>
      </w:r>
      <w:r>
        <w:rPr>
          <w:rStyle w:val="VerbatimChar"/>
        </w:rPr>
        <w:t xml:space="preserve">docs/7. AI Processing Pipeline.md</w:t>
      </w:r>
      <w:r>
        <w:t xml:space="preserve">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NESSUNA decisione con effetti giuridici</w:t>
      </w:r>
      <w:r>
        <w:t xml:space="preserve"> </w:t>
      </w:r>
      <w:r>
        <w:t xml:space="preserve">o effetti analogamente significativi viene presa autonomamente dall’AI di A-ESP:</w:t>
      </w:r>
    </w:p>
    <w:p>
      <w:pPr>
        <w:pStyle w:val="Compact"/>
        <w:numPr>
          <w:ilvl w:val="1"/>
          <w:numId w:val="1005"/>
        </w:numPr>
      </w:pPr>
      <w:r>
        <w:t xml:space="preserve">non vengono effettuati pagamenti automatici;</w:t>
      </w:r>
    </w:p>
    <w:p>
      <w:pPr>
        <w:pStyle w:val="Compact"/>
        <w:numPr>
          <w:ilvl w:val="1"/>
          <w:numId w:val="1005"/>
        </w:numPr>
      </w:pPr>
      <w:r>
        <w:t xml:space="preserve">non vengono avviati ricorsi automatici;</w:t>
      </w:r>
    </w:p>
    <w:p>
      <w:pPr>
        <w:pStyle w:val="Compact"/>
        <w:numPr>
          <w:ilvl w:val="1"/>
          <w:numId w:val="1005"/>
        </w:numPr>
      </w:pPr>
      <w:r>
        <w:t xml:space="preserve">non vengono inviati documenti per conto dell’Utente;</w:t>
      </w:r>
    </w:p>
    <w:p>
      <w:pPr>
        <w:pStyle w:val="Compact"/>
        <w:numPr>
          <w:ilvl w:val="1"/>
          <w:numId w:val="1005"/>
        </w:numPr>
      </w:pPr>
      <w:r>
        <w:t xml:space="preserve">non viene assegnato credit scoring né rating creditizio;</w:t>
      </w:r>
    </w:p>
    <w:p>
      <w:pPr>
        <w:pStyle w:val="Compact"/>
        <w:numPr>
          <w:ilvl w:val="1"/>
          <w:numId w:val="1005"/>
        </w:numPr>
      </w:pPr>
      <w:r>
        <w:t xml:space="preserve">non vengono comunicate informazioni a terzi senza espresso comando dell’Utente.</w:t>
      </w:r>
    </w:p>
    <w:bookmarkEnd w:id="29"/>
    <w:bookmarkStart w:id="30" w:name="diritto-di-intervento-umano"/>
    <w:p>
      <w:pPr>
        <w:pStyle w:val="Heading3"/>
      </w:pPr>
      <w:r>
        <w:t xml:space="preserve">5.3 Diritto di intervento umano</w:t>
      </w:r>
    </w:p>
    <w:p>
      <w:pPr>
        <w:pStyle w:val="FirstParagraph"/>
      </w:pPr>
      <w:r>
        <w:t xml:space="preserve">L’Utente ha il</w:t>
      </w:r>
      <w:r>
        <w:t xml:space="preserve"> </w:t>
      </w:r>
      <w:r>
        <w:rPr>
          <w:b/>
          <w:bCs/>
        </w:rPr>
        <w:t xml:space="preserve">diritto di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Correggere manualmente</w:t>
      </w:r>
      <w:r>
        <w:t xml:space="preserve"> </w:t>
      </w:r>
      <w:r>
        <w:t xml:space="preserve">ogni metadato estratto dall’AI (categoria, scadenza, importo, rischio) direttamente in UI;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Disattivare il pipeline AI</w:t>
      </w:r>
      <w:r>
        <w:t xml:space="preserve"> </w:t>
      </w:r>
      <w:r>
        <w:t xml:space="preserve">dalle Impostazioni (in tal caso A-ESP funge solo da raccoglitore di metadati minimi, senza classificazione automatica);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Richiedere revisione umana</w:t>
      </w:r>
      <w:r>
        <w:t xml:space="preserve"> </w:t>
      </w:r>
      <w:r>
        <w:t xml:space="preserve">di una classificazione contestata via email a privacy@[DOMINIO]. La revisione viene eseguita entro 15 giorni lavorativi dal team A-ESP e non comporta costi per l’Utente.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Esprimere il proprio punto di vista</w:t>
      </w:r>
      <w:r>
        <w:t xml:space="preserve"> </w:t>
      </w:r>
      <w:r>
        <w:t xml:space="preserve">sulla classificazione automatica e contestarla.</w:t>
      </w:r>
    </w:p>
    <w:bookmarkEnd w:id="30"/>
    <w:bookmarkStart w:id="31" w:name="X65855248bbee175b3b821a1c9d1cc82aea95407"/>
    <w:p>
      <w:pPr>
        <w:pStyle w:val="Heading3"/>
      </w:pPr>
      <w:r>
        <w:t xml:space="preserve">5.4 Non applicabilità del divieto generale Art. 22.1</w:t>
      </w:r>
    </w:p>
    <w:p>
      <w:pPr>
        <w:pStyle w:val="FirstParagraph"/>
      </w:pPr>
      <w:r>
        <w:t xml:space="preserve">Il divieto generale di decisione automatizzata di cui all’Art. 22.1 GDPR</w:t>
      </w:r>
      <w:r>
        <w:t xml:space="preserve"> </w:t>
      </w:r>
      <w:r>
        <w:rPr>
          <w:b/>
          <w:bCs/>
        </w:rPr>
        <w:t xml:space="preserve">non si applica</w:t>
      </w:r>
      <w:r>
        <w:t xml:space="preserve"> </w:t>
      </w:r>
      <w:r>
        <w:t xml:space="preserve">al trattamento di A-ESP perché:</w:t>
      </w:r>
    </w:p>
    <w:p>
      <w:pPr>
        <w:pStyle w:val="Compact"/>
        <w:numPr>
          <w:ilvl w:val="0"/>
          <w:numId w:val="1007"/>
        </w:numPr>
      </w:pPr>
      <w:r>
        <w:t xml:space="preserve">Le elaborazioni sono basate sul</w:t>
      </w:r>
      <w:r>
        <w:t xml:space="preserve"> </w:t>
      </w:r>
      <w:r>
        <w:rPr>
          <w:b/>
          <w:bCs/>
        </w:rPr>
        <w:t xml:space="preserve">consenso esplicito</w:t>
      </w:r>
      <w:r>
        <w:t xml:space="preserve"> </w:t>
      </w:r>
      <w:r>
        <w:t xml:space="preserve">dell’Utente all’attivazione del Servizio (Art. 22.2.c);</w:t>
      </w:r>
    </w:p>
    <w:p>
      <w:pPr>
        <w:pStyle w:val="Compact"/>
        <w:numPr>
          <w:ilvl w:val="0"/>
          <w:numId w:val="1007"/>
        </w:numPr>
      </w:pPr>
      <w:r>
        <w:t xml:space="preserve">Le classificazioni non producono effetti giuridici o ugualmente significativi (vedi sezione 5.2).</w:t>
      </w:r>
    </w:p>
    <w:p>
      <w:pPr>
        <w:pStyle w:val="FirstParagraph"/>
      </w:pPr>
      <w:r>
        <w:t xml:space="preserve">L’Utente conferma il consenso all’attivazione del Servizio con specifico flag di accettazione nell’onboarding.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ai-act-ue-classificazione-del-sistema"/>
    <w:p>
      <w:pPr>
        <w:pStyle w:val="Heading2"/>
      </w:pPr>
      <w:r>
        <w:t xml:space="preserve">6. AI Act UE — classificazione del sistema</w:t>
      </w:r>
    </w:p>
    <w:p>
      <w:pPr>
        <w:pStyle w:val="FirstParagraph"/>
      </w:pPr>
      <w:r>
        <w:t xml:space="preserve">Il Regolamento UE 2024/1689 (AI Act) entra in applicazione progressivamente fino al 2027. A-ESP classifica il proprio sistema AI come: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Sistema AI di rischio LIMITATO</w:t>
      </w:r>
      <w:r>
        <w:t xml:space="preserve"> </w:t>
      </w:r>
      <w:r>
        <w:t xml:space="preserve">ai sensi dell’Art. 50 AI Act (sistemi destinati a interagire con persone fisiche, sistemi di classificazione automatica).</w:t>
      </w:r>
    </w:p>
    <w:p>
      <w:pPr>
        <w:pStyle w:val="Compact"/>
        <w:numPr>
          <w:ilvl w:val="0"/>
          <w:numId w:val="1008"/>
        </w:numPr>
      </w:pPr>
      <w:r>
        <w:t xml:space="preserve">Obblighi applicabili:</w:t>
      </w:r>
    </w:p>
    <w:p>
      <w:pPr>
        <w:pStyle w:val="Compact"/>
        <w:numPr>
          <w:ilvl w:val="1"/>
          <w:numId w:val="1009"/>
        </w:numPr>
      </w:pPr>
      <w:r>
        <w:rPr>
          <w:b/>
          <w:bCs/>
        </w:rPr>
        <w:t xml:space="preserve">Trasparenza</w:t>
      </w:r>
      <w:r>
        <w:t xml:space="preserve">: l’Utente è informato che sta interagendo con un sistema AI (questa informativa) ✅;</w:t>
      </w:r>
    </w:p>
    <w:p>
      <w:pPr>
        <w:pStyle w:val="Compact"/>
        <w:numPr>
          <w:ilvl w:val="1"/>
          <w:numId w:val="1009"/>
        </w:numPr>
      </w:pPr>
      <w:r>
        <w:rPr>
          <w:b/>
          <w:bCs/>
        </w:rPr>
        <w:t xml:space="preserve">Etichettatura dei contenuti generati</w:t>
      </w:r>
      <w:r>
        <w:t xml:space="preserve">: i riassunti AI sono identificabili nella UI come “Sintesi generata automaticamente” ✅;</w:t>
      </w:r>
    </w:p>
    <w:p>
      <w:pPr>
        <w:pStyle w:val="Compact"/>
        <w:numPr>
          <w:ilvl w:val="1"/>
          <w:numId w:val="1009"/>
        </w:numPr>
      </w:pPr>
      <w:r>
        <w:rPr>
          <w:b/>
          <w:bCs/>
        </w:rPr>
        <w:t xml:space="preserve">Non è “high-risk”</w:t>
      </w:r>
      <w:r>
        <w:t xml:space="preserve"> </w:t>
      </w:r>
      <w:r>
        <w:t xml:space="preserve">perché non rientra negli ambiti dell’Allegato III (non è impiego, non è giustizia, non è welfare, non è law enforcement).</w:t>
      </w:r>
    </w:p>
    <w:p>
      <w:pPr>
        <w:pStyle w:val="FirstParagraph"/>
      </w:pPr>
      <w:r>
        <w:t xml:space="preserve">[DECISIONE: monitorare l’evoluzione dell’AI Act italiano (decreto attuativo) e aggiornare questa informativa quando saranno emanati i provvedimenti di dettaglio dell’AgID.]</w:t>
      </w:r>
    </w:p>
    <w:p>
      <w:r>
        <w:pict>
          <v:rect style="width:0;height:1.5pt" o:hralign="center" o:hrstd="t" o:hr="t"/>
        </w:pict>
      </w:r>
    </w:p>
    <w:bookmarkEnd w:id="33"/>
    <w:bookmarkStart w:id="34" w:name="limiti-dellai"/>
    <w:p>
      <w:pPr>
        <w:pStyle w:val="Heading2"/>
      </w:pPr>
      <w:r>
        <w:t xml:space="preserve">7. Limiti dell’AI</w:t>
      </w:r>
    </w:p>
    <w:p>
      <w:pPr>
        <w:pStyle w:val="FirstParagraph"/>
      </w:pPr>
      <w:r>
        <w:t xml:space="preserve">L’AI</w:t>
      </w:r>
      <w:r>
        <w:t xml:space="preserve"> </w:t>
      </w:r>
      <w:r>
        <w:rPr>
          <w:b/>
          <w:bCs/>
        </w:rPr>
        <w:t xml:space="preserve">non è infallibile</w:t>
      </w:r>
      <w:r>
        <w:t xml:space="preserve">. Errori possibili:</w:t>
      </w:r>
    </w:p>
    <w:tbl>
      <w:tblPr>
        <w:tblStyle w:val="Table"/>
        <w:tblW w:type="pct" w:w="4240"/>
        <w:tblLayout w:type="fixed"/>
        <w:tblLook w:firstRow="1" w:lastRow="0" w:firstColumn="0" w:lastColumn="0" w:noHBand="0" w:noVBand="0" w:val="0020"/>
      </w:tblPr>
      <w:tblGrid>
        <w:gridCol w:w="2238"/>
        <w:gridCol w:w="2238"/>
        <w:gridCol w:w="22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Tipo di errore</w:t>
            </w:r>
          </w:p>
        </w:tc>
        <w:tc>
          <w:tcPr/>
          <w:p>
            <w:pPr>
              <w:pStyle w:val="Compact"/>
            </w:pPr>
            <w:r>
              <w:t xml:space="preserve">Esempio</w:t>
            </w:r>
          </w:p>
        </w:tc>
        <w:tc>
          <w:tcPr/>
          <w:p>
            <w:pPr>
              <w:pStyle w:val="Compact"/>
            </w:pPr>
            <w:r>
              <w:t xml:space="preserve">Mitigazione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Classificazione errata</w:t>
            </w:r>
          </w:p>
        </w:tc>
        <w:tc>
          <w:tcPr/>
          <w:p>
            <w:pPr>
              <w:pStyle w:val="Compact"/>
            </w:pPr>
            <w:r>
              <w:t xml:space="preserve">F24 classificato come “Newsletter”</w:t>
            </w:r>
          </w:p>
        </w:tc>
        <w:tc>
          <w:tcPr/>
          <w:p>
            <w:pPr>
              <w:pStyle w:val="Compact"/>
            </w:pPr>
            <w:r>
              <w:t xml:space="preserve">UI mostra confidence, Utente corregge manualmente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Scadenza non rilevata</w:t>
            </w:r>
          </w:p>
        </w:tc>
        <w:tc>
          <w:tcPr/>
          <w:p>
            <w:pPr>
              <w:pStyle w:val="Compact"/>
            </w:pPr>
            <w:r>
              <w:t xml:space="preserve">Fattura con “scadenza tra 30 giorni” non parsata in</w:t>
            </w:r>
            <w:r>
              <w:t xml:space="preserve"> </w:t>
            </w:r>
            <w:r>
              <w:rPr>
                <w:rStyle w:val="VerbatimChar"/>
              </w:rPr>
              <w:t xml:space="preserve">due_date</w:t>
            </w:r>
          </w:p>
        </w:tc>
        <w:tc>
          <w:tcPr/>
          <w:p>
            <w:pPr>
              <w:pStyle w:val="Compact"/>
            </w:pPr>
            <w:r>
              <w:t xml:space="preserve">Notifica meno aggressiva; correzione manuale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Importo errato</w:t>
            </w:r>
          </w:p>
        </w:tc>
        <w:tc>
          <w:tcPr/>
          <w:p>
            <w:pPr>
              <w:pStyle w:val="Compact"/>
            </w:pPr>
            <w:r>
              <w:t xml:space="preserve">“EUR 158,40” letto come “1584,00”</w:t>
            </w:r>
          </w:p>
        </w:tc>
        <w:tc>
          <w:tcPr/>
          <w:p>
            <w:pPr>
              <w:pStyle w:val="Compact"/>
            </w:pPr>
            <w:r>
              <w:t xml:space="preserve">Confronto con</w:t>
            </w:r>
            <w:r>
              <w:t xml:space="preserve"> </w:t>
            </w:r>
            <w:r>
              <w:rPr>
                <w:rStyle w:val="VerbatimChar"/>
              </w:rPr>
              <w:t xml:space="preserve">summary</w:t>
            </w:r>
            <w:r>
              <w:t xml:space="preserve"> </w:t>
            </w:r>
            <w:r>
              <w:t xml:space="preserve">testuale; correzione manuale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Allucinazione</w:t>
            </w:r>
          </w:p>
        </w:tc>
        <w:tc>
          <w:tcPr/>
          <w:p>
            <w:pPr>
              <w:pStyle w:val="Compact"/>
            </w:pPr>
            <w:r>
              <w:t xml:space="preserve">Estrazione di un dato non presente nel documento</w:t>
            </w:r>
          </w:p>
        </w:tc>
        <w:tc>
          <w:tcPr/>
          <w:p>
            <w:pPr>
              <w:pStyle w:val="Compact"/>
            </w:pPr>
            <w:r>
              <w:t xml:space="preserve">Cross-check su confidence; possibilità di feedback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Bias linguistico</w:t>
            </w:r>
          </w:p>
        </w:tc>
        <w:tc>
          <w:tcPr/>
          <w:p>
            <w:pPr>
              <w:pStyle w:val="Compact"/>
            </w:pPr>
            <w:r>
              <w:t xml:space="preserve">Migliore performance su italiano standard rispetto a dialetti o terminologia regionale</w:t>
            </w:r>
          </w:p>
        </w:tc>
        <w:tc>
          <w:tcPr/>
          <w:p>
            <w:pPr>
              <w:pStyle w:val="Compact"/>
            </w:pPr>
            <w:r>
              <w:t xml:space="preserve">Monitoring metriche per categoria</w:t>
            </w:r>
          </w:p>
        </w:tc>
      </w:tr>
    </w:tbl>
    <w:p>
      <w:pPr>
        <w:pStyle w:val="BodyText"/>
      </w:pPr>
      <w:r>
        <w:rPr>
          <w:b/>
          <w:bCs/>
        </w:rPr>
        <w:t xml:space="preserve">L’Utente è tenuto a verificare i metadati prima di prendere decisioni rilevanti</w:t>
      </w:r>
      <w:r>
        <w:t xml:space="preserve"> </w:t>
      </w:r>
      <w:r>
        <w:t xml:space="preserve">(pagamenti, ricorsi, dichiarazioni fiscali). A-ESP</w:t>
      </w:r>
      <w:r>
        <w:t xml:space="preserve"> </w:t>
      </w:r>
      <w:r>
        <w:rPr>
          <w:b/>
          <w:bCs/>
        </w:rPr>
        <w:t xml:space="preserve">non sostituisce</w:t>
      </w:r>
      <w:r>
        <w:t xml:space="preserve"> </w:t>
      </w:r>
      <w:r>
        <w:t xml:space="preserve">un commercialista, un avvocato o un consulente fiscale.</w:t>
      </w:r>
    </w:p>
    <w:p>
      <w:r>
        <w:pict>
          <v:rect style="width:0;height:1.5pt" o:hralign="center" o:hrstd="t" o:hr="t"/>
        </w:pict>
      </w:r>
    </w:p>
    <w:bookmarkEnd w:id="34"/>
    <w:bookmarkStart w:id="35" w:name="diritti-dellutente-specifici-per-lai"/>
    <w:p>
      <w:pPr>
        <w:pStyle w:val="Heading2"/>
      </w:pPr>
      <w:r>
        <w:t xml:space="preserve">8. Diritti dell’Utente specifici per l’AI</w:t>
      </w:r>
    </w:p>
    <w:p>
      <w:pPr>
        <w:pStyle w:val="FirstParagraph"/>
      </w:pPr>
      <w:r>
        <w:t xml:space="preserve">Oltre ai diritti GDPR generali (Artt. 15-22, descritti nell’Informativa Privacy):</w:t>
      </w:r>
    </w:p>
    <w:tbl>
      <w:tblPr>
        <w:tblStyle w:val="Table"/>
        <w:tblW w:type="pct" w:w="4235"/>
        <w:tblLayout w:type="fixed"/>
        <w:tblLook w:firstRow="1" w:lastRow="0" w:firstColumn="0" w:lastColumn="0" w:noHBand="0" w:noVBand="0" w:val="0020"/>
      </w:tblPr>
      <w:tblGrid>
        <w:gridCol w:w="3354"/>
        <w:gridCol w:w="335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Diritto</w:t>
            </w:r>
          </w:p>
        </w:tc>
        <w:tc>
          <w:tcPr/>
          <w:p>
            <w:pPr>
              <w:pStyle w:val="Compact"/>
            </w:pPr>
            <w:r>
              <w:t xml:space="preserve">Modalità di esercizio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Sapere quale modello AI è stato usato per una specifica estrazione</w:t>
            </w:r>
          </w:p>
        </w:tc>
        <w:tc>
          <w:tcPr/>
          <w:p>
            <w:pPr>
              <w:pStyle w:val="Compact"/>
            </w:pPr>
            <w:r>
              <w:t xml:space="preserve">Tabella “AI logs” in Impostazioni → Account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Sapere quanti token sono stati consumati per il proprio account</w:t>
            </w:r>
          </w:p>
        </w:tc>
        <w:tc>
          <w:tcPr/>
          <w:p>
            <w:pPr>
              <w:pStyle w:val="Compact"/>
            </w:pPr>
            <w:r>
              <w:t xml:space="preserve">Dashboard costi (per piani a pagamento)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Disattivare AI extraction per singolo canale</w:t>
            </w:r>
          </w:p>
        </w:tc>
        <w:tc>
          <w:tcPr/>
          <w:p>
            <w:pPr>
              <w:pStyle w:val="Compact"/>
            </w:pPr>
            <w:r>
              <w:t xml:space="preserve">Impostazioni → Canali → Toggle “AI extraction”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Disattivare il Segretario AI</w:t>
            </w:r>
          </w:p>
        </w:tc>
        <w:tc>
          <w:tcPr/>
          <w:p>
            <w:pPr>
              <w:pStyle w:val="Compact"/>
            </w:pPr>
            <w:r>
              <w:t xml:space="preserve">Impostazioni → Segretario → Disattiva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Cancellare la cronologia chat del Segretario</w:t>
            </w:r>
          </w:p>
        </w:tc>
        <w:tc>
          <w:tcPr/>
          <w:p>
            <w:pPr>
              <w:pStyle w:val="Compact"/>
            </w:pPr>
            <w:r>
              <w:t xml:space="preserve">Impostazioni → Segretario → Cancella cronologia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Esportare embedding e classificazioni AI</w:t>
            </w:r>
          </w:p>
        </w:tc>
        <w:tc>
          <w:tcPr/>
          <w:p>
            <w:pPr>
              <w:pStyle w:val="Compact"/>
            </w:pPr>
            <w:r>
              <w:t xml:space="preserve">Esportazione dati (Art. 20 GDPR)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Opporsi alla profilazione (Art. 21 GDPR)</w:t>
            </w:r>
          </w:p>
        </w:tc>
        <w:tc>
          <w:tcPr/>
          <w:p>
            <w:pPr>
              <w:pStyle w:val="Compact"/>
            </w:pPr>
            <w:r>
              <w:t xml:space="preserve">privacy@[DOMINIO] — disattivazione completa AI; il Servizio resta usabile in modalità “indice puro”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Start w:id="36" w:name="tutela-dei-minori"/>
    <w:p>
      <w:pPr>
        <w:pStyle w:val="Heading2"/>
      </w:pPr>
      <w:r>
        <w:t xml:space="preserve">9. Tutela dei minori</w:t>
      </w:r>
    </w:p>
    <w:p>
      <w:pPr>
        <w:pStyle w:val="FirstParagraph"/>
      </w:pPr>
      <w:r>
        <w:t xml:space="preserve">A-ESP</w:t>
      </w:r>
      <w:r>
        <w:t xml:space="preserve"> </w:t>
      </w:r>
      <w:r>
        <w:rPr>
          <w:b/>
          <w:bCs/>
        </w:rPr>
        <w:t xml:space="preserve">non è destinato a minori</w:t>
      </w:r>
      <w:r>
        <w:t xml:space="preserve"> </w:t>
      </w:r>
      <w:r>
        <w:t xml:space="preserve">e richiede maggiore età all’iscrizione. Non vengono trattati dati di minori in via consapevole.</w:t>
      </w:r>
    </w:p>
    <w:p>
      <w:r>
        <w:pict>
          <v:rect style="width:0;height:1.5pt" o:hralign="center" o:hrstd="t" o:hr="t"/>
        </w:pict>
      </w:r>
    </w:p>
    <w:bookmarkEnd w:id="36"/>
    <w:bookmarkStart w:id="37" w:name="aggiornamenti-dellinformativa-ai"/>
    <w:p>
      <w:pPr>
        <w:pStyle w:val="Heading2"/>
      </w:pPr>
      <w:r>
        <w:t xml:space="preserve">10. Aggiornamenti dell’informativa AI</w:t>
      </w:r>
    </w:p>
    <w:p>
      <w:pPr>
        <w:pStyle w:val="FirstParagraph"/>
      </w:pPr>
      <w:r>
        <w:t xml:space="preserve">L’informativa è aggiornata in caso di: - cambio di provider LLM; - introduzione di nuove funzionalità AI; - evoluzione normativa (AI Act delegati, linee guida AgID, parere Garante).</w:t>
      </w:r>
    </w:p>
    <w:p>
      <w:pPr>
        <w:pStyle w:val="BodyText"/>
      </w:pPr>
      <w:r>
        <w:t xml:space="preserve">Modifiche sostanziali sono comunicate con preavviso di</w:t>
      </w:r>
      <w:r>
        <w:t xml:space="preserve"> </w:t>
      </w:r>
      <w:r>
        <w:rPr>
          <w:b/>
          <w:bCs/>
        </w:rPr>
        <w:t xml:space="preserve">30 giorni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7"/>
    <w:bookmarkStart w:id="38" w:name="contatti"/>
    <w:p>
      <w:pPr>
        <w:pStyle w:val="Heading2"/>
      </w:pPr>
      <w:r>
        <w:t xml:space="preserve">11. Contatti</w:t>
      </w:r>
    </w:p>
    <w:p>
      <w:pPr>
        <w:pStyle w:val="Compact"/>
        <w:numPr>
          <w:ilvl w:val="0"/>
          <w:numId w:val="1010"/>
        </w:numPr>
      </w:pPr>
      <w:r>
        <w:t xml:space="preserve">Email:</w:t>
      </w:r>
      <w:r>
        <w:t xml:space="preserve"> </w:t>
      </w:r>
      <w:r>
        <w:rPr>
          <w:b/>
          <w:bCs/>
        </w:rPr>
        <w:t xml:space="preserve">privacy@[DOMINIO]</w:t>
      </w:r>
    </w:p>
    <w:p>
      <w:pPr>
        <w:pStyle w:val="Compact"/>
        <w:numPr>
          <w:ilvl w:val="0"/>
          <w:numId w:val="1010"/>
        </w:numPr>
      </w:pPr>
      <w:r>
        <w:t xml:space="preserve">DPO (se nominato):</w:t>
      </w:r>
      <w:r>
        <w:t xml:space="preserve"> </w:t>
      </w:r>
      <w:r>
        <w:rPr>
          <w:b/>
          <w:bCs/>
        </w:rPr>
        <w:t xml:space="preserve">dpo@[DOMINIO]</w:t>
      </w:r>
    </w:p>
    <w:p>
      <w:pPr>
        <w:pStyle w:val="Compact"/>
        <w:numPr>
          <w:ilvl w:val="0"/>
          <w:numId w:val="1010"/>
        </w:numPr>
      </w:pPr>
      <w:r>
        <w:t xml:space="preserve">Supporto AI specifico:</w:t>
      </w:r>
      <w:r>
        <w:t xml:space="preserve"> </w:t>
      </w:r>
      <w:r>
        <w:rPr>
          <w:b/>
          <w:bCs/>
        </w:rPr>
        <w:t xml:space="preserve">ai-support@[DOMINIO]</w:t>
      </w:r>
      <w:r>
        <w:t xml:space="preserve"> </w:t>
      </w:r>
      <w:r>
        <w:t xml:space="preserve">[opzionale]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Documento DRAFT. Le righe marcate [DECISIONE: …] richiedono validazione del consulente legale e monitoraggio normativo continuo (AI Act + provvedimenti attuativi).</w:t>
      </w:r>
    </w:p>
    <w:bookmarkEnd w:id="38"/>
    <w:bookmarkEnd w:id="39"/>
    <w:sectPr>
      <w:headerReference r:id="rId9" w:type="default"/>
      <w:footerReference r:id="rId10" w:type="default"/>
      <w:footnotePr>
        <w:numRestart w:val="eachSect"/>
      </w:footnotePr>
      <w:pgSz w:h="16838" w:w="11906"/>
      <w:pgMar w:bottom="1134" w:footer="709" w:header="709" w:left="1134" w:right="1134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06060"/>
        <w:sz w:val="18"/>
      </w:rPr>
      <w:t xml:space="preserve">Pag. </w:t>
    </w:r>
    <w:r>
      <w:rPr>
        <w:rFonts w:ascii="Times New Roman" w:hAnsi="Times New Roman"/>
        <w:color w:val="606060"/>
        <w:sz w:val="18"/>
      </w:rPr>
      <w:fldChar w:fldCharType="begin"/>
      <w:instrText xml:space="preserve"> PAGE </w:instrText>
      <w:fldChar w:fldCharType="separate"/>
      <w:t/>
      <w:fldChar w:fldCharType="end"/>
    </w:r>
    <w:r>
      <w:rPr>
        <w:rFonts w:ascii="Times New Roman" w:hAnsi="Times New Roman"/>
        <w:color w:val="606060"/>
        <w:sz w:val="18"/>
      </w:rPr>
      <w:t xml:space="preserve"> di </w:t>
    </w:r>
    <w:r>
      <w:rPr>
        <w:rFonts w:ascii="Times New Roman" w:hAnsi="Times New Roman"/>
        <w:color w:val="606060"/>
        <w:sz w:val="18"/>
      </w:rPr>
      <w:fldChar w:fldCharType="begin"/>
      <w:instrText xml:space="preserve"> NUMPAGES </w:instrText>
      <w:fldChar w:fldCharType="separate"/>
      <w:t/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color w:val="808080"/>
        <w:sz w:val="18"/>
      </w:rPr>
      <w:fldChar w:fldCharType="begin"/>
      <w:instrText xml:space="preserve"> TITLE  \* MERGEFORMAT </w:instrText>
      <w:fldChar w:fldCharType="separate"/>
      <w:t/>
      <w:fldChar w:fldCharType="end"/>
    </w:r>
    <w:r>
      <w:rPr>
        <w:rFonts w:ascii="Times New Roman" w:hAnsi="Times New Roman"/>
        <w:color w:val="808080"/>
        <w:sz w:val="18"/>
      </w:rPr>
      <w:t xml:space="preserve"> — DRAFT v1.0 — 14/05/2026</w:t>
    </w: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it-IT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Times New Roman" w:cs="Times New Roman" w:hAnsi="Times New Roman"/>
      <w:b w:val="0"/>
      <w:color w:val="000000"/>
      <w:sz w:val="24"/>
    </w:rPr>
  </w:style>
  <w:style w:styleId="BodyText" w:type="paragraph">
    <w:name w:val="Body Text"/>
    <w:basedOn w:val="Normal"/>
    <w:link w:val="BodyTextChar"/>
    <w:qFormat/>
    <w:pPr>
      <w:spacing w:after="180" w:before="180"/>
    </w:pPr>
    <w:rPr>
      <w:rFonts w:ascii="Times New Roman" w:cs="Times New Roman" w:hAnsi="Times New Roman"/>
      <w:b w:val="0"/>
      <w:color w:val="000000"/>
      <w:sz w:val="24"/>
    </w:r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="Times New Roman" w:cs="Times New Roman" w:hAnsi="Times New Roman"/>
      <w:b/>
      <w:color w:val="8C1A23"/>
      <w:sz w:val="52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="Times New Roman" w:cs="Times New Roman" w:hAnsi="Times New Roman"/>
      <w:b/>
      <w:color w:val="8C1A23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="Times New Roman" w:cs="Times New Roman" w:hAnsi="Times New Roman"/>
      <w:b/>
      <w:color w:val="8C1A23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ascii="Times New Roman" w:cs="Times New Roman" w:hAnsi="Times New Roman"/>
      <w:b/>
      <w:color w:val="8C1A23"/>
      <w:sz w:val="26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25" Type="http://schemas.openxmlformats.org/officeDocument/2006/relationships/hyperlink" Target="./elenco-sub-processor.md" TargetMode="External"/><Relationship Id="rId19" Type="http://schemas.openxmlformats.org/officeDocument/2006/relationships/hyperlink" Target="./informativa-privacy.md" TargetMode="External"/></Relationships>
</file>

<file path=word/_rels/footnotes.xml.rels><?xml version='1.0' encoding='UTF-8' standalone='yes'?>
<Relationships xmlns="http://schemas.openxmlformats.org/package/2006/relationships"><Relationship Id="rId25" Type="http://schemas.openxmlformats.org/officeDocument/2006/relationships/hyperlink" Target="./elenco-sub-processor.md" TargetMode="External"/><Relationship Id="rId19" Type="http://schemas.openxmlformats.org/officeDocument/2006/relationships/hyperlink" Target="./informativa-privacy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sull'utilizzo dell'Intelligenza Artificiale</dc:title>
  <dc:creator>A-ESP — Bozza per consulenza legale</dc:creator>
  <dc:language>it-IT</dc:language>
  <dc:subject>Documento legale draft v1.0 (pendente revisione consulente)</dc:subject>
  <cp:keywords/>
  <dcterms:created xsi:type="dcterms:W3CDTF">2026-05-14T09:28:27Z</dcterms:created>
  <dcterms:modified xsi:type="dcterms:W3CDTF">2026-05-14T09:28:27Z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14/05/2026</vt:lpwstr>
  </property>
</Properties>
</file>