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Termini e Condizioni del Servizio</w:t>
      </w:r>
    </w:p>
    <w:p>
      <w:pPr>
        <w:pStyle w:val="Author"/>
      </w:pPr>
      <w:r>
        <w:t xml:space="preserve">A-ESP — Bozza per consulenza legale</w:t>
      </w:r>
    </w:p>
    <w:p>
      <w:pPr>
        <w:pStyle w:val="Date"/>
      </w:pPr>
      <w:r>
        <w:t xml:space="preserve">14/05/2026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5" w:name="termini-e-condizioni-del-servizio-a-esp"/>
    <w:p>
      <w:pPr>
        <w:pStyle w:val="Heading1"/>
      </w:pPr>
      <w:r>
        <w:t xml:space="preserve">Termini e Condizioni del Servizio A-ESP</w:t>
      </w:r>
    </w:p>
    <w:p>
      <w:pPr>
        <w:pStyle w:val="FirstParagraph"/>
      </w:pPr>
      <w:r>
        <w:rPr>
          <w:b/>
          <w:bCs/>
        </w:rPr>
        <w:t xml:space="preserve">Versione:</w:t>
      </w:r>
      <w:r>
        <w:t xml:space="preserve"> </w:t>
      </w:r>
      <w:r>
        <w:t xml:space="preserve">1.0 — DRAFT</w:t>
      </w:r>
      <w:r>
        <w:t xml:space="preserve"> </w:t>
      </w:r>
      <w:r>
        <w:rPr>
          <w:b/>
          <w:bCs/>
        </w:rPr>
        <w:t xml:space="preserve">Ultimo aggiornamento:</w:t>
      </w:r>
      <w:r>
        <w:t xml:space="preserve"> </w:t>
      </w:r>
      <w:r>
        <w:t xml:space="preserve">[DATA DI PUBBLICAZIONE]</w:t>
      </w:r>
      <w:r>
        <w:t xml:space="preserve"> </w:t>
      </w:r>
      <w:r>
        <w:rPr>
          <w:b/>
          <w:bCs/>
        </w:rPr>
        <w:t xml:space="preserve">Data di entrata in vigore:</w:t>
      </w:r>
      <w:r>
        <w:t xml:space="preserve"> </w:t>
      </w:r>
      <w:r>
        <w:t xml:space="preserve">[DATA]</w:t>
      </w:r>
    </w:p>
    <w:p>
      <w:pPr>
        <w:pStyle w:val="BodyText"/>
      </w:pPr>
      <w:r>
        <w:t xml:space="preserve">I presenti Termini e Condizioni (di seguito “Termini”) regolano l’utilizzo del Servizio A-ESP (“Servizio”), erogato da</w:t>
      </w:r>
      <w:r>
        <w:t xml:space="preserve"> </w:t>
      </w:r>
      <w:r>
        <w:rPr>
          <w:b/>
          <w:bCs/>
        </w:rPr>
        <w:t xml:space="preserve">[RAGIONE SOCIALE]</w:t>
      </w:r>
      <w:r>
        <w:t xml:space="preserve"> </w:t>
      </w:r>
      <w:r>
        <w:t xml:space="preserve">(“Fornitore” o “noi”), con sede legale in [INDIRIZZO], P.IVA [VALORE]. L’accettazione dei Termini è condizione necessaria per l’utilizzo del Servizio.</w:t>
      </w:r>
    </w:p>
    <w:p>
      <w:r>
        <w:pict>
          <v:rect style="width:0;height:1.5pt" o:hralign="center" o:hrstd="t" o:hr="t"/>
        </w:pict>
      </w:r>
    </w:p>
    <w:bookmarkStart w:id="19" w:name="definizioni"/>
    <w:p>
      <w:pPr>
        <w:pStyle w:val="Heading2"/>
      </w:pPr>
      <w:r>
        <w:t xml:space="preserve">1. Definizioni</w:t>
      </w:r>
    </w:p>
    <w:p>
      <w:pPr>
        <w:pStyle w:val="Compact"/>
        <w:numPr>
          <w:ilvl w:val="0"/>
          <w:numId w:val="1001"/>
        </w:numPr>
      </w:pPr>
      <w:r>
        <w:rPr>
          <w:b/>
          <w:bCs/>
        </w:rPr>
        <w:t xml:space="preserve">A-ESP / Servizio</w:t>
      </w:r>
      <w:r>
        <w:t xml:space="preserve">: la piattaforma SaaS che consente la lettura in sola lettura di caselle email e PEC, l’estrazione AI di metadati, la gestione di scadenze e l’assistente AI.</w:t>
      </w:r>
    </w:p>
    <w:p>
      <w:pPr>
        <w:pStyle w:val="Compact"/>
        <w:numPr>
          <w:ilvl w:val="0"/>
          <w:numId w:val="1001"/>
        </w:numPr>
      </w:pPr>
      <w:r>
        <w:rPr>
          <w:b/>
          <w:bCs/>
        </w:rPr>
        <w:t xml:space="preserve">Utente</w:t>
      </w:r>
      <w:r>
        <w:t xml:space="preserve">: la persona fisica, professionista o giuridica che si registra al Servizio.</w:t>
      </w:r>
    </w:p>
    <w:p>
      <w:pPr>
        <w:pStyle w:val="Compact"/>
        <w:numPr>
          <w:ilvl w:val="0"/>
          <w:numId w:val="1001"/>
        </w:numPr>
      </w:pPr>
      <w:r>
        <w:rPr>
          <w:b/>
          <w:bCs/>
        </w:rPr>
        <w:t xml:space="preserve">Account</w:t>
      </w:r>
      <w:r>
        <w:t xml:space="preserve">: l’insieme di credenziali, configurazioni e contenuti associati a un Utente.</w:t>
      </w:r>
    </w:p>
    <w:p>
      <w:pPr>
        <w:pStyle w:val="Compact"/>
        <w:numPr>
          <w:ilvl w:val="0"/>
          <w:numId w:val="1001"/>
        </w:numPr>
      </w:pPr>
      <w:r>
        <w:rPr>
          <w:b/>
          <w:bCs/>
        </w:rPr>
        <w:t xml:space="preserve">Provider di Posta</w:t>
      </w:r>
      <w:r>
        <w:t xml:space="preserve">: i fornitori esterni di servizi email/PEC autorizzati dall’Utente (Google Gmail, Microsoft Outlook, gestori IMAP, gestori PEC accreditati AgID).</w:t>
      </w:r>
    </w:p>
    <w:p>
      <w:pPr>
        <w:pStyle w:val="Compact"/>
        <w:numPr>
          <w:ilvl w:val="0"/>
          <w:numId w:val="1001"/>
        </w:numPr>
      </w:pPr>
      <w:r>
        <w:rPr>
          <w:b/>
          <w:bCs/>
        </w:rPr>
        <w:t xml:space="preserve">Contenuto Utente</w:t>
      </w:r>
      <w:r>
        <w:t xml:space="preserve">: i messaggi, allegati e metadati presenti nelle caselle dell’Utente.</w:t>
      </w:r>
    </w:p>
    <w:p>
      <w:pPr>
        <w:pStyle w:val="Compact"/>
        <w:numPr>
          <w:ilvl w:val="0"/>
          <w:numId w:val="1001"/>
        </w:numPr>
      </w:pPr>
      <w:r>
        <w:rPr>
          <w:b/>
          <w:bCs/>
        </w:rPr>
        <w:t xml:space="preserve">Sub-fornitori AI</w:t>
      </w:r>
      <w:r>
        <w:t xml:space="preserve">: provider di modelli linguistici (LLM) utilizzati per l’analisi automatica dei documenti.</w:t>
      </w:r>
    </w:p>
    <w:p>
      <w:r>
        <w:pict>
          <v:rect style="width:0;height:1.5pt" o:hralign="center" o:hrstd="t" o:hr="t"/>
        </w:pict>
      </w:r>
    </w:p>
    <w:bookmarkEnd w:id="19"/>
    <w:bookmarkStart w:id="20" w:name="oggetto-del-servizio"/>
    <w:p>
      <w:pPr>
        <w:pStyle w:val="Heading2"/>
      </w:pPr>
      <w:r>
        <w:t xml:space="preserve">2. Oggetto del Servizio</w:t>
      </w:r>
    </w:p>
    <w:p>
      <w:pPr>
        <w:pStyle w:val="FirstParagraph"/>
      </w:pPr>
      <w:r>
        <w:t xml:space="preserve">A-ESP fornisce all’Utente:</w:t>
      </w:r>
    </w:p>
    <w:p>
      <w:pPr>
        <w:numPr>
          <w:ilvl w:val="0"/>
          <w:numId w:val="1002"/>
        </w:numPr>
      </w:pPr>
      <w:r>
        <w:rPr>
          <w:b/>
          <w:bCs/>
        </w:rPr>
        <w:t xml:space="preserve">Connessione in sola lettura</w:t>
      </w:r>
      <w:r>
        <w:t xml:space="preserve"> </w:t>
      </w:r>
      <w:r>
        <w:t xml:space="preserve">a una o più caselle email e PEC autorizzate dall’Utente, mediante protocolli ufficiali (OAuth 2.0 per Gmail/Outlook; IMAPS per PEC e altri provider).</w:t>
      </w:r>
    </w:p>
    <w:p>
      <w:pPr>
        <w:numPr>
          <w:ilvl w:val="0"/>
          <w:numId w:val="1002"/>
        </w:numPr>
      </w:pPr>
      <w:r>
        <w:rPr>
          <w:b/>
          <w:bCs/>
        </w:rPr>
        <w:t xml:space="preserve">Estrazione automatica di metadati</w:t>
      </w:r>
      <w:r>
        <w:t xml:space="preserve"> </w:t>
      </w:r>
      <w:r>
        <w:t xml:space="preserve">dai messaggi via modelli AI: categoria documento, scadenze, importi, codici tributo, identificativi fiscali e legali.</w:t>
      </w:r>
    </w:p>
    <w:p>
      <w:pPr>
        <w:numPr>
          <w:ilvl w:val="0"/>
          <w:numId w:val="1002"/>
        </w:numPr>
      </w:pPr>
      <w:r>
        <w:rPr>
          <w:b/>
          <w:bCs/>
        </w:rPr>
        <w:t xml:space="preserve">Indicizzazione e ricerca</w:t>
      </w:r>
      <w:r>
        <w:t xml:space="preserve"> </w:t>
      </w:r>
      <w:r>
        <w:t xml:space="preserve">dei documenti tramite cassetti tematici predefiniti (C01-C14) e personalizzati (CU01-CUn).</w:t>
      </w:r>
    </w:p>
    <w:p>
      <w:pPr>
        <w:numPr>
          <w:ilvl w:val="0"/>
          <w:numId w:val="1002"/>
        </w:numPr>
      </w:pPr>
      <w:r>
        <w:rPr>
          <w:b/>
          <w:bCs/>
        </w:rPr>
        <w:t xml:space="preserve">Notifica di scadenze</w:t>
      </w:r>
      <w:r>
        <w:t xml:space="preserve"> </w:t>
      </w:r>
      <w:r>
        <w:t xml:space="preserve">e calcolo dinamico di un indicatore di “rischio economico” basato sui documenti indicizzati.</w:t>
      </w:r>
    </w:p>
    <w:p>
      <w:pPr>
        <w:numPr>
          <w:ilvl w:val="0"/>
          <w:numId w:val="1002"/>
        </w:numPr>
      </w:pPr>
      <w:r>
        <w:rPr>
          <w:b/>
          <w:bCs/>
        </w:rPr>
        <w:t xml:space="preserve">Assistente AI (“Segretario”)</w:t>
      </w:r>
      <w:r>
        <w:t xml:space="preserve"> </w:t>
      </w:r>
      <w:r>
        <w:t xml:space="preserve">per l’interrogazione in linguaggio naturale del proprio archivio indicizzato.</w:t>
      </w:r>
    </w:p>
    <w:p>
      <w:pPr>
        <w:pStyle w:val="FirstParagraph"/>
      </w:pPr>
      <w:r>
        <w:rPr>
          <w:b/>
          <w:bCs/>
        </w:rPr>
        <w:t xml:space="preserve">Cosa il Servizio NON è:</w:t>
      </w:r>
      <w:r>
        <w:t xml:space="preserve"> </w:t>
      </w:r>
      <w:r>
        <w:t xml:space="preserve">- A-ESP</w:t>
      </w:r>
      <w:r>
        <w:t xml:space="preserve"> </w:t>
      </w:r>
      <w:r>
        <w:rPr>
          <w:b/>
          <w:bCs/>
        </w:rPr>
        <w:t xml:space="preserve">NON è un conservatore digitale a norma</w:t>
      </w:r>
      <w:r>
        <w:t xml:space="preserve"> </w:t>
      </w:r>
      <w:r>
        <w:t xml:space="preserve">ai sensi del CAD (D.Lgs. 82/2005, Art. 43). Le funzioni di conservazione legale restano in capo al gestore PEC o ad altro conservatore accreditato AgID. - A-ESP</w:t>
      </w:r>
      <w:r>
        <w:t xml:space="preserve"> </w:t>
      </w:r>
      <w:r>
        <w:rPr>
          <w:b/>
          <w:bCs/>
        </w:rPr>
        <w:t xml:space="preserve">NON è un gestore di Posta Elettronica Certificata</w:t>
      </w:r>
      <w:r>
        <w:t xml:space="preserve"> </w:t>
      </w:r>
      <w:r>
        <w:t xml:space="preserve">ai sensi del DPR 68/2005. - A-ESP</w:t>
      </w:r>
      <w:r>
        <w:t xml:space="preserve"> </w:t>
      </w:r>
      <w:r>
        <w:rPr>
          <w:b/>
          <w:bCs/>
        </w:rPr>
        <w:t xml:space="preserve">NON è un consulente fiscale, legale, contabile</w:t>
      </w:r>
      <w:r>
        <w:t xml:space="preserve">. Le elaborazioni AI sono ausili informativi, non pareri professionali. - A-ESP</w:t>
      </w:r>
      <w:r>
        <w:t xml:space="preserve"> </w:t>
      </w:r>
      <w:r>
        <w:rPr>
          <w:b/>
          <w:bCs/>
        </w:rPr>
        <w:t xml:space="preserve">NON modifica, sposta, invia o cancella</w:t>
      </w:r>
      <w:r>
        <w:t xml:space="preserve"> </w:t>
      </w:r>
      <w:r>
        <w:t xml:space="preserve">alcun messaggio nelle caselle dell’Utente. L’accesso è strettamente in sola lettura.</w:t>
      </w:r>
    </w:p>
    <w:p>
      <w:r>
        <w:pict>
          <v:rect style="width:0;height:1.5pt" o:hralign="center" o:hrstd="t" o:hr="t"/>
        </w:pict>
      </w:r>
    </w:p>
    <w:bookmarkEnd w:id="20"/>
    <w:bookmarkStart w:id="21" w:name="registrazione-account-e-credenziali"/>
    <w:p>
      <w:pPr>
        <w:pStyle w:val="Heading2"/>
      </w:pPr>
      <w:r>
        <w:t xml:space="preserve">3. Registrazione, account e credenziali</w:t>
      </w:r>
    </w:p>
    <w:p>
      <w:pPr>
        <w:pStyle w:val="FirstParagraph"/>
      </w:pPr>
      <w:r>
        <w:t xml:space="preserve">3.1 La registrazione avviene tramite [SSO PROVIDER] o, in alternativa, tramite [METODO ALTERNATIVO]. L’Utente garantisce la veridicità delle informazioni fornite.</w:t>
      </w:r>
    </w:p>
    <w:p>
      <w:pPr>
        <w:pStyle w:val="BodyText"/>
      </w:pPr>
      <w:r>
        <w:t xml:space="preserve">3.2 L’Utente è responsabile della</w:t>
      </w:r>
      <w:r>
        <w:t xml:space="preserve"> </w:t>
      </w:r>
      <w:r>
        <w:rPr>
          <w:b/>
          <w:bCs/>
        </w:rPr>
        <w:t xml:space="preserve">custodia delle credenziali</w:t>
      </w:r>
      <w:r>
        <w:t xml:space="preserve"> </w:t>
      </w:r>
      <w:r>
        <w:t xml:space="preserve">di accesso al Servizio. È tenuto a notificare immediatamente a security@[DOMINIO] eventuali accessi non autorizzati o sospetti.</w:t>
      </w:r>
    </w:p>
    <w:p>
      <w:pPr>
        <w:pStyle w:val="BodyText"/>
      </w:pPr>
      <w:r>
        <w:t xml:space="preserve">3.3 Per accedere alle caselle dell’Utente, il Servizio richiede l’autorizzazione tramite: -</w:t>
      </w:r>
      <w:r>
        <w:t xml:space="preserve"> </w:t>
      </w:r>
      <w:r>
        <w:rPr>
          <w:b/>
          <w:bCs/>
        </w:rPr>
        <w:t xml:space="preserve">OAuth 2.0</w:t>
      </w:r>
      <w:r>
        <w:t xml:space="preserve"> </w:t>
      </w:r>
      <w:r>
        <w:t xml:space="preserve">per Gmail e Outlook (token revocabili in qualsiasi momento dal pannello del provider); -</w:t>
      </w:r>
      <w:r>
        <w:t xml:space="preserve"> </w:t>
      </w:r>
      <w:r>
        <w:rPr>
          <w:b/>
          <w:bCs/>
        </w:rPr>
        <w:t xml:space="preserve">Credenziali IMAP/PEC</w:t>
      </w:r>
      <w:r>
        <w:t xml:space="preserve"> </w:t>
      </w:r>
      <w:r>
        <w:t xml:space="preserve">per gli altri provider, conservate cifrate AES-256-GCM con envelope encryption.</w:t>
      </w:r>
    </w:p>
    <w:p>
      <w:pPr>
        <w:pStyle w:val="BodyText"/>
      </w:pPr>
      <w:r>
        <w:t xml:space="preserve">L’Utente può revocare l’autorizzazione in qualsiasi momento dall’area “Connessioni” dell’app.</w:t>
      </w:r>
    </w:p>
    <w:p>
      <w:pPr>
        <w:pStyle w:val="BodyText"/>
      </w:pPr>
      <w:r>
        <w:t xml:space="preserve">3.4 Età minima: l’utilizzo del Servizio è riservato a maggiorenni. Il Servizio non è destinato a soggetti di età inferiore a 18 anni.</w:t>
      </w:r>
    </w:p>
    <w:p>
      <w:r>
        <w:pict>
          <v:rect style="width:0;height:1.5pt" o:hralign="center" o:hrstd="t" o:hr="t"/>
        </w:pict>
      </w:r>
    </w:p>
    <w:bookmarkEnd w:id="21"/>
    <w:bookmarkStart w:id="22" w:name="obblighi-e-comportamento-dellutente"/>
    <w:p>
      <w:pPr>
        <w:pStyle w:val="Heading2"/>
      </w:pPr>
      <w:r>
        <w:t xml:space="preserve">4. Obblighi e comportamento dell’Utente</w:t>
      </w:r>
    </w:p>
    <w:p>
      <w:pPr>
        <w:pStyle w:val="FirstParagraph"/>
      </w:pPr>
      <w:r>
        <w:t xml:space="preserve">L’Utente si impegna a:</w:t>
      </w:r>
    </w:p>
    <w:p>
      <w:pPr>
        <w:numPr>
          <w:ilvl w:val="0"/>
          <w:numId w:val="1003"/>
        </w:numPr>
      </w:pPr>
      <w:r>
        <w:t xml:space="preserve">Utilizzare il Servizio nel rispetto delle leggi vigenti, dell’ordine pubblico e del buon costume;</w:t>
      </w:r>
    </w:p>
    <w:p>
      <w:pPr>
        <w:numPr>
          <w:ilvl w:val="0"/>
          <w:numId w:val="1003"/>
        </w:numPr>
      </w:pPr>
      <w:r>
        <w:t xml:space="preserve">Non utilizzare il Servizio per finalità illecite, fraudolente, lesive di diritti di terzi;</w:t>
      </w:r>
    </w:p>
    <w:p>
      <w:pPr>
        <w:numPr>
          <w:ilvl w:val="0"/>
          <w:numId w:val="1003"/>
        </w:numPr>
      </w:pPr>
      <w:r>
        <w:t xml:space="preserve">Non condividere il proprio account con terzi (l’account è strettamente personale);</w:t>
      </w:r>
    </w:p>
    <w:p>
      <w:pPr>
        <w:numPr>
          <w:ilvl w:val="0"/>
          <w:numId w:val="1003"/>
        </w:numPr>
      </w:pPr>
      <w:r>
        <w:t xml:space="preserve">Non tentare di reverse-engineering, decompilazione o accesso non autorizzato al codice o all’infrastruttura del Servizio;</w:t>
      </w:r>
    </w:p>
    <w:p>
      <w:pPr>
        <w:numPr>
          <w:ilvl w:val="0"/>
          <w:numId w:val="1003"/>
        </w:numPr>
      </w:pPr>
      <w:r>
        <w:t xml:space="preserve">Non utilizzare bot, scraper o strumenti automatizzati di accesso non autorizzati dal Fornitore;</w:t>
      </w:r>
    </w:p>
    <w:p>
      <w:pPr>
        <w:numPr>
          <w:ilvl w:val="0"/>
          <w:numId w:val="1003"/>
        </w:numPr>
      </w:pPr>
      <w:r>
        <w:t xml:space="preserve">Non caricare nelle caselle collegate contenuti illeciti al fine di farli analizzare dal Servizio;</w:t>
      </w:r>
    </w:p>
    <w:p>
      <w:pPr>
        <w:numPr>
          <w:ilvl w:val="0"/>
          <w:numId w:val="1003"/>
        </w:numPr>
      </w:pPr>
      <w:r>
        <w:t xml:space="preserve">Garantire di</w:t>
      </w:r>
      <w:r>
        <w:t xml:space="preserve"> </w:t>
      </w:r>
      <w:r>
        <w:rPr>
          <w:b/>
          <w:bCs/>
        </w:rPr>
        <w:t xml:space="preserve">avere il diritto</w:t>
      </w:r>
      <w:r>
        <w:t xml:space="preserve"> </w:t>
      </w:r>
      <w:r>
        <w:t xml:space="preserve">di autorizzare A-ESP all’accesso alle caselle collegate (es. caselle aziendali → autorizzazione del datore di lavoro).</w:t>
      </w:r>
    </w:p>
    <w:p>
      <w:pPr>
        <w:pStyle w:val="FirstParagraph"/>
      </w:pPr>
      <w:r>
        <w:t xml:space="preserve">La violazione di tali obblighi può comportare la sospensione o la chiusura dell’account ai sensi della sezione 11.</w:t>
      </w:r>
    </w:p>
    <w:p>
      <w:r>
        <w:pict>
          <v:rect style="width:0;height:1.5pt" o:hralign="center" o:hrstd="t" o:hr="t"/>
        </w:pict>
      </w:r>
    </w:p>
    <w:bookmarkEnd w:id="22"/>
    <w:bookmarkStart w:id="23" w:name="proprietà-intellettuale"/>
    <w:p>
      <w:pPr>
        <w:pStyle w:val="Heading2"/>
      </w:pPr>
      <w:r>
        <w:t xml:space="preserve">5. Proprietà intellettuale</w:t>
      </w:r>
    </w:p>
    <w:p>
      <w:pPr>
        <w:pStyle w:val="FirstParagraph"/>
      </w:pPr>
      <w:r>
        <w:t xml:space="preserve">5.1 Tutti i diritti di proprietà intellettuale sul Servizio (codice, design, marchi, documentazione) appartengono al Fornitore o ai suoi licenzianti.</w:t>
      </w:r>
    </w:p>
    <w:p>
      <w:pPr>
        <w:pStyle w:val="BodyText"/>
      </w:pPr>
      <w:r>
        <w:t xml:space="preserve">5.2 L’Utente concede al Fornitore una</w:t>
      </w:r>
      <w:r>
        <w:t xml:space="preserve"> </w:t>
      </w:r>
      <w:r>
        <w:rPr>
          <w:b/>
          <w:bCs/>
        </w:rPr>
        <w:t xml:space="preserve">licenza limitata e non esclusiva</w:t>
      </w:r>
      <w:r>
        <w:t xml:space="preserve"> </w:t>
      </w:r>
      <w:r>
        <w:t xml:space="preserve">di accesso al Contenuto Utente al solo fine di erogare il Servizio. Tale licenza: - è</w:t>
      </w:r>
      <w:r>
        <w:t xml:space="preserve"> </w:t>
      </w:r>
      <w:r>
        <w:rPr>
          <w:b/>
          <w:bCs/>
        </w:rPr>
        <w:t xml:space="preserve">revocabile</w:t>
      </w:r>
      <w:r>
        <w:t xml:space="preserve"> </w:t>
      </w:r>
      <w:r>
        <w:t xml:space="preserve">alla chiusura del rapporto o alla revoca dell’autorizzazione di accesso alle caselle; - è</w:t>
      </w:r>
      <w:r>
        <w:t xml:space="preserve"> </w:t>
      </w:r>
      <w:r>
        <w:rPr>
          <w:b/>
          <w:bCs/>
        </w:rPr>
        <w:t xml:space="preserve">non trasferibile</w:t>
      </w:r>
      <w:r>
        <w:t xml:space="preserve"> </w:t>
      </w:r>
      <w:r>
        <w:t xml:space="preserve">a terzi tranne ai Sub-fornitori AI per il tempo strettamente necessario all’elaborazione; - NON include il diritto di</w:t>
      </w:r>
      <w:r>
        <w:t xml:space="preserve"> </w:t>
      </w:r>
      <w:r>
        <w:rPr>
          <w:b/>
          <w:bCs/>
        </w:rPr>
        <w:t xml:space="preserve">utilizzare il Contenuto Utente per addestrare modelli AI</w:t>
      </w:r>
      <w:r>
        <w:t xml:space="preserve"> </w:t>
      </w:r>
      <w:r>
        <w:t xml:space="preserve">del Fornitore o di terzi.</w:t>
      </w:r>
    </w:p>
    <w:p>
      <w:pPr>
        <w:pStyle w:val="BodyText"/>
      </w:pPr>
      <w:r>
        <w:t xml:space="preserve">5.3 Il Contenuto Utente resta di esclusiva proprietà dell’Utente. Il Fornitore non rivendica alcun diritto su di esso.</w:t>
      </w:r>
    </w:p>
    <w:p>
      <w:pPr>
        <w:pStyle w:val="BodyText"/>
      </w:pPr>
      <w:r>
        <w:t xml:space="preserve">5.4 Feedback inviato dall’Utente al Fornitore (suggerimenti di miglioramento, bug report) potrà essere utilizzato liberamente dal Fornitore per migliorare il Servizio, senza obbligo di compenso e senza limiti territoriali o temporali.</w:t>
      </w:r>
    </w:p>
    <w:p>
      <w:r>
        <w:pict>
          <v:rect style="width:0;height:1.5pt" o:hralign="center" o:hrstd="t" o:hr="t"/>
        </w:pict>
      </w:r>
    </w:p>
    <w:bookmarkEnd w:id="23"/>
    <w:bookmarkStart w:id="25" w:name="servizio-di-intelligenza-artificiale"/>
    <w:p>
      <w:pPr>
        <w:pStyle w:val="Heading2"/>
      </w:pPr>
      <w:r>
        <w:t xml:space="preserve">6. Servizio di intelligenza artificiale</w:t>
      </w:r>
    </w:p>
    <w:p>
      <w:pPr>
        <w:pStyle w:val="FirstParagraph"/>
      </w:pPr>
      <w:r>
        <w:t xml:space="preserve">6.1 Il Servizio utilizza modelli AI di terzi (Anthropic Claude, Google Gemini, altri provider commerciali) per l’estrazione automatica dei metadati. I dettagli sui fornitori AI sono descritti nell’</w:t>
      </w:r>
      <w:hyperlink r:id="rId24">
        <w:r>
          <w:rPr>
            <w:rStyle w:val="VerbatimChar"/>
          </w:rPr>
          <w:t xml:space="preserve">elenco-sub-processor.md</w:t>
        </w:r>
      </w:hyperlink>
      <w:r>
        <w:t xml:space="preserve"> </w:t>
      </w:r>
      <w:r>
        <w:t xml:space="preserve">e nell’informativa privacy.</w:t>
      </w:r>
    </w:p>
    <w:p>
      <w:pPr>
        <w:pStyle w:val="BodyText"/>
      </w:pPr>
      <w:r>
        <w:t xml:space="preserve">6.2</w:t>
      </w:r>
      <w:r>
        <w:t xml:space="preserve"> </w:t>
      </w:r>
      <w:r>
        <w:rPr>
          <w:b/>
          <w:bCs/>
        </w:rPr>
        <w:t xml:space="preserve">Garanzia Zero Data Retention (ZDR)</w:t>
      </w:r>
      <w:r>
        <w:t xml:space="preserve">: i fornitori AI utilizzati operano in modalità ZDR enterprise, ovvero: - i prompt e le risposte vengono</w:t>
      </w:r>
      <w:r>
        <w:t xml:space="preserve"> </w:t>
      </w:r>
      <w:r>
        <w:rPr>
          <w:b/>
          <w:bCs/>
        </w:rPr>
        <w:t xml:space="preserve">scartati immediatamente</w:t>
      </w:r>
      <w:r>
        <w:t xml:space="preserve"> </w:t>
      </w:r>
      <w:r>
        <w:t xml:space="preserve">al termine della chiamata API; - i contenuti dell’Utente</w:t>
      </w:r>
      <w:r>
        <w:t xml:space="preserve"> </w:t>
      </w:r>
      <w:r>
        <w:rPr>
          <w:b/>
          <w:bCs/>
        </w:rPr>
        <w:t xml:space="preserve">NON vengono usati per addestramento</w:t>
      </w:r>
      <w:r>
        <w:t xml:space="preserve"> </w:t>
      </w:r>
      <w:r>
        <w:t xml:space="preserve">dei modelli; - nessuna conservazione lato fornitore AI dopo la risposta.</w:t>
      </w:r>
    </w:p>
    <w:p>
      <w:pPr>
        <w:pStyle w:val="BodyText"/>
      </w:pPr>
      <w:r>
        <w:t xml:space="preserve">6.3</w:t>
      </w:r>
      <w:r>
        <w:t xml:space="preserve"> </w:t>
      </w:r>
      <w:r>
        <w:rPr>
          <w:b/>
          <w:bCs/>
        </w:rPr>
        <w:t xml:space="preserve">Accuratezza dell’AI</w:t>
      </w:r>
      <w:r>
        <w:t xml:space="preserve">: l’estrazione automatica può contenere errori, omissioni o imprecisioni. Il Fornitore non garantisce l’accuratezza al 100% delle classificazioni AI.</w:t>
      </w:r>
      <w:r>
        <w:t xml:space="preserve"> </w:t>
      </w:r>
      <w:r>
        <w:rPr>
          <w:b/>
          <w:bCs/>
        </w:rPr>
        <w:t xml:space="preserve">L’Utente è tenuto a verificare manualmente i metadati estratti prima di prendere decisioni rilevanti</w:t>
      </w:r>
      <w:r>
        <w:t xml:space="preserve"> </w:t>
      </w:r>
      <w:r>
        <w:t xml:space="preserve">(pagamenti, ricorsi, dichiarazioni fiscali).</w:t>
      </w:r>
    </w:p>
    <w:p>
      <w:pPr>
        <w:pStyle w:val="BodyText"/>
      </w:pPr>
      <w:r>
        <w:t xml:space="preserve">6.4</w:t>
      </w:r>
      <w:r>
        <w:t xml:space="preserve"> </w:t>
      </w:r>
      <w:r>
        <w:rPr>
          <w:b/>
          <w:bCs/>
        </w:rPr>
        <w:t xml:space="preserve">No advice</w:t>
      </w:r>
      <w:r>
        <w:t xml:space="preserve">: i risultati dell’AI (categorizzazioni, calcoli di rischio, riepiloghi, suggerimenti di azione) sono</w:t>
      </w:r>
      <w:r>
        <w:t xml:space="preserve"> </w:t>
      </w:r>
      <w:r>
        <w:rPr>
          <w:b/>
          <w:bCs/>
        </w:rPr>
        <w:t xml:space="preserve">strumenti informativi automatizzati</w:t>
      </w:r>
      <w:r>
        <w:t xml:space="preserve"> </w:t>
      </w:r>
      <w:r>
        <w:t xml:space="preserve">e NON costituiscono parere fiscale, legale o contabile professionale. Per decisioni rilevanti consultare sempre un professionista qualificato.</w:t>
      </w:r>
    </w:p>
    <w:p>
      <w:r>
        <w:pict>
          <v:rect style="width:0;height:1.5pt" o:hralign="center" o:hrstd="t" o:hr="t"/>
        </w:pict>
      </w:r>
    </w:p>
    <w:bookmarkEnd w:id="25"/>
    <w:bookmarkStart w:id="26" w:name="disponibilità-del-servizio-e-sla"/>
    <w:p>
      <w:pPr>
        <w:pStyle w:val="Heading2"/>
      </w:pPr>
      <w:r>
        <w:t xml:space="preserve">7. Disponibilità del Servizio e SLA</w:t>
      </w:r>
    </w:p>
    <w:p>
      <w:pPr>
        <w:pStyle w:val="FirstParagraph"/>
      </w:pPr>
      <w:r>
        <w:t xml:space="preserve">7.1 Il Fornitore si impegna a garantire la disponibilità del Servizio con obiettivo di uptime mensile del</w:t>
      </w:r>
      <w:r>
        <w:t xml:space="preserve"> </w:t>
      </w:r>
      <w:r>
        <w:rPr>
          <w:b/>
          <w:bCs/>
        </w:rPr>
        <w:t xml:space="preserve">99,5%</w:t>
      </w:r>
      <w:r>
        <w:t xml:space="preserve"> </w:t>
      </w:r>
      <w:r>
        <w:t xml:space="preserve">(esclusi periodi di manutenzione programmata comunicati con almeno 48 ore di preavviso).</w:t>
      </w:r>
    </w:p>
    <w:p>
      <w:pPr>
        <w:pStyle w:val="BodyText"/>
      </w:pPr>
      <w:r>
        <w:t xml:space="preserve">7.2 Il Servizio può essere temporaneamente non disponibile per: - manutenzioni programmate; - guasti tecnici dei fornitori cloud o dei Provider di Posta; - esaurimento quota API dei Sub-fornitori AI; - cause di forza maggiore.</w:t>
      </w:r>
    </w:p>
    <w:p>
      <w:pPr>
        <w:pStyle w:val="BodyText"/>
      </w:pPr>
      <w:r>
        <w:t xml:space="preserve">7.3 In caso di indisponibilità prolungata (&gt;4 ore consecutive) imputabile al Fornitore, l’Utente ha diritto a richiedere il rimborso pro-rata del canone (se applicabile per il piano sottoscritto).</w:t>
      </w:r>
    </w:p>
    <w:p>
      <w:pPr>
        <w:pStyle w:val="BodyText"/>
      </w:pPr>
      <w:r>
        <w:t xml:space="preserve">7.4</w:t>
      </w:r>
      <w:r>
        <w:t xml:space="preserve"> </w:t>
      </w:r>
      <w:r>
        <w:rPr>
          <w:b/>
          <w:bCs/>
        </w:rPr>
        <w:t xml:space="preserve">Limiti di utilizzo</w:t>
      </w:r>
      <w:r>
        <w:t xml:space="preserve">: i piani gratuiti e/o di prova hanno limiti di chiamate AI, numero di canali, frequenza di sync e volume di documenti. I limiti sono indicati nel pannello “Piano” dell’app e possono essere modificati dal Fornitore con preavviso di 30 giorni.</w:t>
      </w:r>
    </w:p>
    <w:p>
      <w:r>
        <w:pict>
          <v:rect style="width:0;height:1.5pt" o:hralign="center" o:hrstd="t" o:hr="t"/>
        </w:pict>
      </w:r>
    </w:p>
    <w:bookmarkEnd w:id="26"/>
    <w:bookmarkStart w:id="27" w:name="corrispettivo-se-applicabile"/>
    <w:p>
      <w:pPr>
        <w:pStyle w:val="Heading2"/>
      </w:pPr>
      <w:r>
        <w:t xml:space="preserve">8. Corrispettivo (se applicabile)</w:t>
      </w:r>
    </w:p>
    <w:p>
      <w:pPr>
        <w:pStyle w:val="FirstParagraph"/>
      </w:pPr>
      <w:r>
        <w:t xml:space="preserve">[DECISIONE: pricing e fatturazione da definire. Sezione da personalizzare in base al modello commerciale: SaaS subscription? Per utente? Pay-per-use AI?]</w:t>
      </w:r>
    </w:p>
    <w:p>
      <w:pPr>
        <w:pStyle w:val="BodyText"/>
      </w:pPr>
      <w:r>
        <w:t xml:space="preserve">8.1 Il Servizio è offerto in modalità [GRATUITA / FREEMIUM / A PAGAMENTO secondo i piani in app].</w:t>
      </w:r>
    </w:p>
    <w:p>
      <w:pPr>
        <w:pStyle w:val="BodyText"/>
      </w:pPr>
      <w:r>
        <w:t xml:space="preserve">8.2 Per i piani a pagamento: il corrispettivo è indicato in app al momento della sottoscrizione, IVA esclusa, ed è fatturato [MENSILE / ANNUALE] con addebito automatico sul metodo di pagamento fornito.</w:t>
      </w:r>
    </w:p>
    <w:p>
      <w:pPr>
        <w:pStyle w:val="BodyText"/>
      </w:pPr>
      <w:r>
        <w:t xml:space="preserve">8.3 In caso di mancato pagamento entro [N] giorni, il Servizio può essere sospeso. L’archivio indicizzato resta accessibile in modalità “sola lettura” per ulteriori 30 giorni, dopodiché l’account viene declassato al piano gratuito (se disponibile) o chiuso con preavviso scritto.</w:t>
      </w:r>
    </w:p>
    <w:p>
      <w:r>
        <w:pict>
          <v:rect style="width:0;height:1.5pt" o:hralign="center" o:hrstd="t" o:hr="t"/>
        </w:pict>
      </w:r>
    </w:p>
    <w:bookmarkEnd w:id="27"/>
    <w:bookmarkStart w:id="28" w:name="garanzie-e-limitazione-di-responsabilità"/>
    <w:p>
      <w:pPr>
        <w:pStyle w:val="Heading2"/>
      </w:pPr>
      <w:r>
        <w:t xml:space="preserve">9. Garanzie e limitazione di responsabilità</w:t>
      </w:r>
    </w:p>
    <w:p>
      <w:pPr>
        <w:pStyle w:val="FirstParagraph"/>
      </w:pPr>
      <w:r>
        <w:t xml:space="preserve">9.1 Il Servizio è fornito</w:t>
      </w:r>
      <w:r>
        <w:t xml:space="preserve"> </w:t>
      </w:r>
      <w:r>
        <w:rPr>
          <w:b/>
          <w:bCs/>
        </w:rPr>
        <w:t xml:space="preserve">“AS IS”</w:t>
      </w:r>
      <w:r>
        <w:t xml:space="preserve"> </w:t>
      </w:r>
      <w:r>
        <w:t xml:space="preserve">e</w:t>
      </w:r>
      <w:r>
        <w:t xml:space="preserve"> </w:t>
      </w:r>
      <w:r>
        <w:rPr>
          <w:b/>
          <w:bCs/>
        </w:rPr>
        <w:t xml:space="preserve">“AS AVAILABLE”</w:t>
      </w:r>
      <w:r>
        <w:t xml:space="preserve">, senza garanzia espressa di idoneità a un particolare scopo, salvo quanto previsto da norme inderogabili di legge a tutela del consumatore.</w:t>
      </w:r>
    </w:p>
    <w:p>
      <w:pPr>
        <w:pStyle w:val="BodyText"/>
      </w:pPr>
      <w:r>
        <w:t xml:space="preserve">9.2 In nessun caso il Fornitore sarà responsabile per:</w:t>
      </w:r>
    </w:p>
    <w:p>
      <w:pPr>
        <w:numPr>
          <w:ilvl w:val="0"/>
          <w:numId w:val="1004"/>
        </w:numPr>
      </w:pPr>
      <w:r>
        <w:rPr>
          <w:b/>
          <w:bCs/>
        </w:rPr>
        <w:t xml:space="preserve">Danni indiretti, consequenziali o di natura economica</w:t>
      </w:r>
      <w:r>
        <w:t xml:space="preserve"> </w:t>
      </w:r>
      <w:r>
        <w:t xml:space="preserve">(perdita di profitti, perdita di opportunità commerciali, danno reputazionale) salvo dolo o colpa grave;</w:t>
      </w:r>
    </w:p>
    <w:p>
      <w:pPr>
        <w:numPr>
          <w:ilvl w:val="0"/>
          <w:numId w:val="1004"/>
        </w:numPr>
      </w:pPr>
      <w:r>
        <w:rPr>
          <w:b/>
          <w:bCs/>
        </w:rPr>
        <w:t xml:space="preserve">Sanzioni o conseguenze legali</w:t>
      </w:r>
      <w:r>
        <w:t xml:space="preserve"> </w:t>
      </w:r>
      <w:r>
        <w:t xml:space="preserve">derivanti dal mancato adempimento di scadenze fiscali o legali da parte dell’Utente, ANCHE se conseguenti a notifiche mancate o errate del Servizio;</w:t>
      </w:r>
    </w:p>
    <w:p>
      <w:pPr>
        <w:numPr>
          <w:ilvl w:val="0"/>
          <w:numId w:val="1004"/>
        </w:numPr>
      </w:pPr>
      <w:r>
        <w:rPr>
          <w:b/>
          <w:bCs/>
        </w:rPr>
        <w:t xml:space="preserve">Inesattezze delle classificazioni AI</w:t>
      </w:r>
      <w:r>
        <w:t xml:space="preserve"> </w:t>
      </w:r>
      <w:r>
        <w:t xml:space="preserve">(vedi sezione 6.3);</w:t>
      </w:r>
    </w:p>
    <w:p>
      <w:pPr>
        <w:numPr>
          <w:ilvl w:val="0"/>
          <w:numId w:val="1004"/>
        </w:numPr>
      </w:pPr>
      <w:r>
        <w:rPr>
          <w:b/>
          <w:bCs/>
        </w:rPr>
        <w:t xml:space="preserve">Indisponibilità o malfunzionamento dei Provider di Posta o dei Sub-fornitori AI</w:t>
      </w:r>
      <w:r>
        <w:t xml:space="preserve"> </w:t>
      </w:r>
      <w:r>
        <w:t xml:space="preserve">non imputabili al Fornitore;</w:t>
      </w:r>
    </w:p>
    <w:p>
      <w:pPr>
        <w:numPr>
          <w:ilvl w:val="0"/>
          <w:numId w:val="1004"/>
        </w:numPr>
      </w:pPr>
      <w:r>
        <w:rPr>
          <w:b/>
          <w:bCs/>
        </w:rPr>
        <w:t xml:space="preserve">Perdita di dati</w:t>
      </w:r>
      <w:r>
        <w:t xml:space="preserve"> </w:t>
      </w:r>
      <w:r>
        <w:t xml:space="preserve">dovuta a cause non imputabili al Fornitore (es. cancellazione manuale di email lato Provider di Posta).</w:t>
      </w:r>
    </w:p>
    <w:p>
      <w:pPr>
        <w:pStyle w:val="FirstParagraph"/>
      </w:pPr>
      <w:r>
        <w:t xml:space="preserve">9.3 La responsabilità complessiva del Fornitore verso l’Utente, per qualsiasi pretesa connessa al Servizio, non potrà comunque eccedere l’importo totale pagato dall’Utente al Fornitore nei 12 mesi precedenti l’evento generatore del danno (per gli utenti gratuiti: zero), salvo quanto inderogabilmente previsto dalla legge a tutela del consumatore.</w:t>
      </w:r>
    </w:p>
    <w:p>
      <w:pPr>
        <w:pStyle w:val="BodyText"/>
      </w:pPr>
      <w:r>
        <w:t xml:space="preserve">9.4 Nulla nei presenti Termini limita la responsabilità del Fornitore in caso di: - dolo o colpa grave; - danni alla persona; - violazione di diritti inderogabili del consumatore ai sensi del Codice del Consumo (D.Lgs. 206/2005).</w:t>
      </w:r>
    </w:p>
    <w:p>
      <w:r>
        <w:pict>
          <v:rect style="width:0;height:1.5pt" o:hralign="center" o:hrstd="t" o:hr="t"/>
        </w:pict>
      </w:r>
    </w:p>
    <w:bookmarkEnd w:id="28"/>
    <w:bookmarkStart w:id="29" w:name="indennizzo-da-parte-dellutente"/>
    <w:p>
      <w:pPr>
        <w:pStyle w:val="Heading2"/>
      </w:pPr>
      <w:r>
        <w:t xml:space="preserve">10. Indennizzo da parte dell’Utente</w:t>
      </w:r>
    </w:p>
    <w:p>
      <w:pPr>
        <w:pStyle w:val="FirstParagraph"/>
      </w:pPr>
      <w:r>
        <w:t xml:space="preserve">L’Utente si impegna a manlevare e tenere indenne il Fornitore da ogni pretesa di terzi (incluse spese legali ragionevoli) derivanti da:</w:t>
      </w:r>
    </w:p>
    <w:p>
      <w:pPr>
        <w:pStyle w:val="Compact"/>
        <w:numPr>
          <w:ilvl w:val="0"/>
          <w:numId w:val="1005"/>
        </w:numPr>
      </w:pPr>
      <w:r>
        <w:t xml:space="preserve">Violazione dei presenti Termini da parte dell’Utente;</w:t>
      </w:r>
    </w:p>
    <w:p>
      <w:pPr>
        <w:pStyle w:val="Compact"/>
        <w:numPr>
          <w:ilvl w:val="0"/>
          <w:numId w:val="1005"/>
        </w:numPr>
      </w:pPr>
      <w:r>
        <w:t xml:space="preserve">Utilizzo del Servizio per finalità illecite o in violazione di diritti di terzi;</w:t>
      </w:r>
    </w:p>
    <w:p>
      <w:pPr>
        <w:pStyle w:val="Compact"/>
        <w:numPr>
          <w:ilvl w:val="0"/>
          <w:numId w:val="1005"/>
        </w:numPr>
      </w:pPr>
      <w:r>
        <w:t xml:space="preserve">Caricamento o accesso a Contenuto Utente di cui l’Utente non aveva diritto di disporre.</w:t>
      </w:r>
    </w:p>
    <w:p>
      <w:r>
        <w:pict>
          <v:rect style="width:0;height:1.5pt" o:hralign="center" o:hrstd="t" o:hr="t"/>
        </w:pict>
      </w:r>
    </w:p>
    <w:bookmarkEnd w:id="29"/>
    <w:bookmarkStart w:id="30" w:name="durata-sospensione-e-recesso"/>
    <w:p>
      <w:pPr>
        <w:pStyle w:val="Heading2"/>
      </w:pPr>
      <w:r>
        <w:t xml:space="preserve">11. Durata, sospensione e recesso</w:t>
      </w:r>
    </w:p>
    <w:p>
      <w:pPr>
        <w:pStyle w:val="FirstParagraph"/>
      </w:pPr>
      <w:r>
        <w:t xml:space="preserve">11.1 Il rapporto contrattuale ha durata indeterminata. L’Utente può recedere in qualsiasi momento dalla sezione “Account” → “Cancella account”.</w:t>
      </w:r>
    </w:p>
    <w:p>
      <w:pPr>
        <w:pStyle w:val="BodyText"/>
      </w:pPr>
      <w:r>
        <w:t xml:space="preserve">11.2 Il Fornitore può</w:t>
      </w:r>
      <w:r>
        <w:t xml:space="preserve"> </w:t>
      </w:r>
      <w:r>
        <w:rPr>
          <w:b/>
          <w:bCs/>
        </w:rPr>
        <w:t xml:space="preserve">sospendere</w:t>
      </w:r>
      <w:r>
        <w:t xml:space="preserve"> </w:t>
      </w:r>
      <w:r>
        <w:t xml:space="preserve">l’account in caso di: - violazione dei Termini (sezione 4); - mancato pagamento per i piani a pagamento (sezione 8); - richiesta dell’autorità giudiziaria.</w:t>
      </w:r>
    </w:p>
    <w:p>
      <w:pPr>
        <w:pStyle w:val="BodyText"/>
      </w:pPr>
      <w:r>
        <w:t xml:space="preserve">11.3 Il Fornitore può</w:t>
      </w:r>
      <w:r>
        <w:t xml:space="preserve"> </w:t>
      </w:r>
      <w:r>
        <w:rPr>
          <w:b/>
          <w:bCs/>
        </w:rPr>
        <w:t xml:space="preserve">risolvere</w:t>
      </w:r>
      <w:r>
        <w:t xml:space="preserve"> </w:t>
      </w:r>
      <w:r>
        <w:t xml:space="preserve">il contratto con preavviso di 30 giorni per giusta causa, o senza preavviso in caso di grave violazione da parte dell’Utente.</w:t>
      </w:r>
    </w:p>
    <w:p>
      <w:pPr>
        <w:pStyle w:val="BodyText"/>
      </w:pPr>
      <w:r>
        <w:t xml:space="preserve">11.4</w:t>
      </w:r>
      <w:r>
        <w:t xml:space="preserve"> </w:t>
      </w:r>
      <w:r>
        <w:rPr>
          <w:b/>
          <w:bCs/>
        </w:rPr>
        <w:t xml:space="preserve">Effetti della cessazione</w:t>
      </w:r>
      <w:r>
        <w:t xml:space="preserve">: - l’accesso al Servizio cessa immediatamente; - l’Utente può scaricare i propri dati nei 30 giorni successivi (formato JSON); - decorsi 30 giorni, i dati personali vengono cancellati con cascade delete (sezione 8 dell’informativa privacy); - i log applicativi e i dati fiscali del Fornitore sono mantenuti per il termine di legge.</w:t>
      </w:r>
    </w:p>
    <w:p>
      <w:r>
        <w:pict>
          <v:rect style="width:0;height:1.5pt" o:hralign="center" o:hrstd="t" o:hr="t"/>
        </w:pict>
      </w:r>
    </w:p>
    <w:bookmarkEnd w:id="30"/>
    <w:bookmarkStart w:id="31" w:name="modifiche-dei-termini"/>
    <w:p>
      <w:pPr>
        <w:pStyle w:val="Heading2"/>
      </w:pPr>
      <w:r>
        <w:t xml:space="preserve">12. Modifiche dei Termini</w:t>
      </w:r>
    </w:p>
    <w:p>
      <w:pPr>
        <w:pStyle w:val="FirstParagraph"/>
      </w:pPr>
      <w:r>
        <w:t xml:space="preserve">Il Fornitore può modificare i Termini, dando preavviso di</w:t>
      </w:r>
      <w:r>
        <w:t xml:space="preserve"> </w:t>
      </w:r>
      <w:r>
        <w:rPr>
          <w:b/>
          <w:bCs/>
        </w:rPr>
        <w:t xml:space="preserve">almeno 30 giorni</w:t>
      </w:r>
      <w:r>
        <w:t xml:space="preserve"> </w:t>
      </w:r>
      <w:r>
        <w:t xml:space="preserve">all’Utente via email e con avviso prominente in app. La continuazione dell’utilizzo del Servizio dopo l’entrata in vigore delle modifiche costituisce accettazione delle stesse. In caso di disaccordo con le modifiche, l’Utente può recedere ai sensi della sezione 11.</w:t>
      </w:r>
    </w:p>
    <w:p>
      <w:pPr>
        <w:pStyle w:val="BodyText"/>
      </w:pPr>
      <w:r>
        <w:t xml:space="preserve">Modifiche puramente tecniche, di sicurezza o necessarie per adeguamento normativo possono entrare in vigore senza preavviso, con notifica all’Utente non appena ragionevolmente possibile.</w:t>
      </w:r>
    </w:p>
    <w:p>
      <w:r>
        <w:pict>
          <v:rect style="width:0;height:1.5pt" o:hralign="center" o:hrstd="t" o:hr="t"/>
        </w:pict>
      </w:r>
    </w:p>
    <w:bookmarkEnd w:id="31"/>
    <w:bookmarkStart w:id="32" w:name="legge-applicabile-e-foro-competente"/>
    <w:p>
      <w:pPr>
        <w:pStyle w:val="Heading2"/>
      </w:pPr>
      <w:r>
        <w:t xml:space="preserve">13. Legge applicabile e foro competente</w:t>
      </w:r>
    </w:p>
    <w:p>
      <w:pPr>
        <w:pStyle w:val="FirstParagraph"/>
      </w:pPr>
      <w:r>
        <w:t xml:space="preserve">13.1 I presenti Termini sono regolati dalla</w:t>
      </w:r>
      <w:r>
        <w:t xml:space="preserve"> </w:t>
      </w:r>
      <w:r>
        <w:rPr>
          <w:b/>
          <w:bCs/>
        </w:rPr>
        <w:t xml:space="preserve">legge italiana</w:t>
      </w:r>
      <w:r>
        <w:t xml:space="preserve">.</w:t>
      </w:r>
    </w:p>
    <w:p>
      <w:pPr>
        <w:pStyle w:val="BodyText"/>
      </w:pPr>
      <w:r>
        <w:t xml:space="preserve">13.2 Per le controversie con utenti</w:t>
      </w:r>
      <w:r>
        <w:t xml:space="preserve"> </w:t>
      </w:r>
      <w:r>
        <w:rPr>
          <w:b/>
          <w:bCs/>
        </w:rPr>
        <w:t xml:space="preserve">consumatori</w:t>
      </w:r>
      <w:r>
        <w:t xml:space="preserve"> </w:t>
      </w:r>
      <w:r>
        <w:t xml:space="preserve">(ai sensi del Codice del Consumo): foro inderogabile della residenza o del domicilio elettivo del consumatore (Art. 33 D.Lgs. 206/2005).</w:t>
      </w:r>
    </w:p>
    <w:p>
      <w:pPr>
        <w:pStyle w:val="BodyText"/>
      </w:pPr>
      <w:r>
        <w:t xml:space="preserve">13.3 Per le controversie con utenti</w:t>
      </w:r>
      <w:r>
        <w:t xml:space="preserve"> </w:t>
      </w:r>
      <w:r>
        <w:rPr>
          <w:b/>
          <w:bCs/>
        </w:rPr>
        <w:t xml:space="preserve">non consumatori</w:t>
      </w:r>
      <w:r>
        <w:t xml:space="preserve"> </w:t>
      </w:r>
      <w:r>
        <w:t xml:space="preserve">(professionisti, aziende): foro esclusivo di</w:t>
      </w:r>
      <w:r>
        <w:t xml:space="preserve"> </w:t>
      </w:r>
      <w:r>
        <w:rPr>
          <w:b/>
          <w:bCs/>
        </w:rPr>
        <w:t xml:space="preserve">[CITTÀ SEDE LEGALE]</w:t>
      </w:r>
      <w:r>
        <w:t xml:space="preserve">.</w:t>
      </w:r>
    </w:p>
    <w:p>
      <w:pPr>
        <w:pStyle w:val="BodyText"/>
      </w:pPr>
      <w:r>
        <w:t xml:space="preserve">13.4 In conformità all’art. 14 del Reg. UE 524/2013, è disponibile la piattaforma europea ODR per la risoluzione online delle controversie: https://ec.europa.eu/consumers/odr/</w:t>
      </w:r>
    </w:p>
    <w:p>
      <w:r>
        <w:pict>
          <v:rect style="width:0;height:1.5pt" o:hralign="center" o:hrstd="t" o:hr="t"/>
        </w:pict>
      </w:r>
    </w:p>
    <w:bookmarkEnd w:id="32"/>
    <w:bookmarkStart w:id="33" w:name="disposizioni-finali"/>
    <w:p>
      <w:pPr>
        <w:pStyle w:val="Heading2"/>
      </w:pPr>
      <w:r>
        <w:t xml:space="preserve">14. Disposizioni finali</w:t>
      </w:r>
    </w:p>
    <w:p>
      <w:pPr>
        <w:pStyle w:val="FirstParagraph"/>
      </w:pPr>
      <w:r>
        <w:t xml:space="preserve">14.1</w:t>
      </w:r>
      <w:r>
        <w:t xml:space="preserve"> </w:t>
      </w:r>
      <w:r>
        <w:rPr>
          <w:b/>
          <w:bCs/>
        </w:rPr>
        <w:t xml:space="preserve">Cessione del contratto</w:t>
      </w:r>
      <w:r>
        <w:t xml:space="preserve">: l’Utente non può cedere a terzi i propri diritti e obblighi senza il consenso scritto del Fornitore. Il Fornitore può cedere il contratto in caso di operazioni societarie (fusione, scissione, cessione d’azienda) con preavviso all’Utente.</w:t>
      </w:r>
    </w:p>
    <w:p>
      <w:pPr>
        <w:pStyle w:val="BodyText"/>
      </w:pPr>
      <w:r>
        <w:t xml:space="preserve">14.2</w:t>
      </w:r>
      <w:r>
        <w:t xml:space="preserve"> </w:t>
      </w:r>
      <w:r>
        <w:rPr>
          <w:b/>
          <w:bCs/>
        </w:rPr>
        <w:t xml:space="preserve">Comunicazioni</w:t>
      </w:r>
      <w:r>
        <w:t xml:space="preserve">: le comunicazioni ufficiali avvengono via email all’indirizzo registrato dall’Utente o tramite l’app. Per il Fornitore: legal@[DOMINIO] e PEC [INDIRIZZO PEC].</w:t>
      </w:r>
    </w:p>
    <w:p>
      <w:pPr>
        <w:pStyle w:val="BodyText"/>
      </w:pPr>
      <w:r>
        <w:t xml:space="preserve">14.3</w:t>
      </w:r>
      <w:r>
        <w:t xml:space="preserve"> </w:t>
      </w:r>
      <w:r>
        <w:rPr>
          <w:b/>
          <w:bCs/>
        </w:rPr>
        <w:t xml:space="preserve">Severability</w:t>
      </w:r>
      <w:r>
        <w:t xml:space="preserve">: l’invalidità di una singola clausola non comporta l’invalidità delle restanti.</w:t>
      </w:r>
    </w:p>
    <w:p>
      <w:pPr>
        <w:pStyle w:val="BodyText"/>
      </w:pPr>
      <w:r>
        <w:t xml:space="preserve">14.4</w:t>
      </w:r>
      <w:r>
        <w:t xml:space="preserve"> </w:t>
      </w:r>
      <w:r>
        <w:rPr>
          <w:b/>
          <w:bCs/>
        </w:rPr>
        <w:t xml:space="preserve">Approvazione specifica delle clausole onerose</w:t>
      </w:r>
      <w:r>
        <w:t xml:space="preserve"> </w:t>
      </w:r>
      <w:r>
        <w:t xml:space="preserve">(artt. 1341-1342 c.c.): l’Utente, all’atto della registrazione, approva espressamente con apposito flag le clausole 4 (Obblighi), 6.3-6.4 (Limiti AI), 7 (SLA), 8 (Pagamenti), 9 (Limitazione di responsabilità), 10 (Indennizzo), 11 (Recesso), 12 (Modifiche), 13.3 (Foro competente per non-consumatori).</w:t>
      </w:r>
    </w:p>
    <w:p>
      <w:r>
        <w:pict>
          <v:rect style="width:0;height:1.5pt" o:hralign="center" o:hrstd="t" o:hr="t"/>
        </w:pict>
      </w:r>
    </w:p>
    <w:bookmarkEnd w:id="33"/>
    <w:bookmarkStart w:id="34" w:name="contatti"/>
    <w:p>
      <w:pPr>
        <w:pStyle w:val="Heading2"/>
      </w:pPr>
      <w:r>
        <w:t xml:space="preserve">15. Contatti</w:t>
      </w:r>
    </w:p>
    <w:p>
      <w:pPr>
        <w:pStyle w:val="Compact"/>
        <w:numPr>
          <w:ilvl w:val="0"/>
          <w:numId w:val="1006"/>
        </w:numPr>
      </w:pPr>
      <w:r>
        <w:t xml:space="preserve">Email generale:</w:t>
      </w:r>
      <w:r>
        <w:t xml:space="preserve"> </w:t>
      </w:r>
      <w:r>
        <w:rPr>
          <w:b/>
          <w:bCs/>
        </w:rPr>
        <w:t xml:space="preserve">info@[DOMINIO]</w:t>
      </w:r>
    </w:p>
    <w:p>
      <w:pPr>
        <w:pStyle w:val="Compact"/>
        <w:numPr>
          <w:ilvl w:val="0"/>
          <w:numId w:val="1006"/>
        </w:numPr>
      </w:pPr>
      <w:r>
        <w:t xml:space="preserve">Email legale:</w:t>
      </w:r>
      <w:r>
        <w:t xml:space="preserve"> </w:t>
      </w:r>
      <w:r>
        <w:rPr>
          <w:b/>
          <w:bCs/>
        </w:rPr>
        <w:t xml:space="preserve">legal@[DOMINIO]</w:t>
      </w:r>
    </w:p>
    <w:p>
      <w:pPr>
        <w:pStyle w:val="Compact"/>
        <w:numPr>
          <w:ilvl w:val="0"/>
          <w:numId w:val="1006"/>
        </w:numPr>
      </w:pPr>
      <w:r>
        <w:t xml:space="preserve">Email privacy:</w:t>
      </w:r>
      <w:r>
        <w:t xml:space="preserve"> </w:t>
      </w:r>
      <w:r>
        <w:rPr>
          <w:b/>
          <w:bCs/>
        </w:rPr>
        <w:t xml:space="preserve">privacy@[DOMINIO]</w:t>
      </w:r>
    </w:p>
    <w:p>
      <w:pPr>
        <w:pStyle w:val="Compact"/>
        <w:numPr>
          <w:ilvl w:val="0"/>
          <w:numId w:val="1006"/>
        </w:numPr>
      </w:pPr>
      <w:r>
        <w:t xml:space="preserve">PEC:</w:t>
      </w:r>
      <w:r>
        <w:t xml:space="preserve"> </w:t>
      </w:r>
      <w:r>
        <w:rPr>
          <w:b/>
          <w:bCs/>
        </w:rPr>
        <w:t xml:space="preserve">[INDIRIZZO PEC]</w:t>
      </w:r>
    </w:p>
    <w:p>
      <w:pPr>
        <w:pStyle w:val="Compact"/>
        <w:numPr>
          <w:ilvl w:val="0"/>
          <w:numId w:val="1006"/>
        </w:numPr>
      </w:pPr>
      <w:r>
        <w:t xml:space="preserve">Sede legale:</w:t>
      </w:r>
      <w:r>
        <w:t xml:space="preserve"> </w:t>
      </w:r>
      <w:r>
        <w:rPr>
          <w:b/>
          <w:bCs/>
        </w:rPr>
        <w:t xml:space="preserve">[INDIRIZZO]</w:t>
      </w:r>
    </w:p>
    <w:p>
      <w:r>
        <w:pict>
          <v:rect style="width:0;height:1.5pt" o:hralign="center" o:hrstd="t" o:hr="t"/>
        </w:pict>
      </w:r>
    </w:p>
    <w:p>
      <w:pPr>
        <w:pStyle w:val="FirstParagraph"/>
      </w:pPr>
      <w:r>
        <w:rPr>
          <w:i/>
          <w:iCs/>
        </w:rPr>
        <w:t xml:space="preserve">Documento DRAFT — pendente revisione consulente legale. Le clausole onerose ex artt. 1341-1342 c.c. devono essere validate caso per caso col consulente.</w:t>
      </w:r>
    </w:p>
    <w:bookmarkEnd w:id="34"/>
    <w:bookmarkEnd w:id="35"/>
    <w:sectPr>
      <w:headerReference r:id="rId9" w:type="default"/>
      <w:footerReference r:id="rId10" w:type="default"/>
      <w:footnotePr>
        <w:numRestart w:val="eachSect"/>
      </w:footnotePr>
      <w:pgSz w:h="16838" w:w="11906"/>
      <w:pgMar w:bottom="1134" w:footer="709" w:header="709" w:left="1134" w:right="1134"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06060"/>
        <w:sz w:val="18"/>
      </w:rPr>
      <w:t xml:space="preserve">Pag. </w:t>
    </w:r>
    <w:r>
      <w:rPr>
        <w:rFonts w:ascii="Times New Roman" w:hAnsi="Times New Roman"/>
        <w:color w:val="606060"/>
        <w:sz w:val="18"/>
      </w:rPr>
      <w:fldChar w:fldCharType="begin"/>
      <w:instrText xml:space="preserve"> PAGE </w:instrText>
      <w:fldChar w:fldCharType="separate"/>
      <w:t/>
      <w:fldChar w:fldCharType="end"/>
    </w:r>
    <w:r>
      <w:rPr>
        <w:rFonts w:ascii="Times New Roman" w:hAnsi="Times New Roman"/>
        <w:color w:val="606060"/>
        <w:sz w:val="18"/>
      </w:rPr>
      <w:t xml:space="preserve"> di </w:t>
    </w:r>
    <w:r>
      <w:rPr>
        <w:rFonts w:ascii="Times New Roman" w:hAnsi="Times New Roman"/>
        <w:color w:val="606060"/>
        <w:sz w:val="18"/>
      </w:rPr>
      <w:fldChar w:fldCharType="begin"/>
      <w:instrText xml:space="preserve"> NUMPAGES </w:instrText>
      <w:fldChar w:fldCharType="separate"/>
      <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Times New Roman" w:hAnsi="Times New Roman"/>
        <w:color w:val="808080"/>
        <w:sz w:val="18"/>
      </w:rPr>
      <w:fldChar w:fldCharType="begin"/>
      <w:instrText xml:space="preserve"> TITLE  \* MERGEFORMAT </w:instrText>
      <w:fldChar w:fldCharType="separate"/>
      <w:t/>
      <w:fldChar w:fldCharType="end"/>
    </w:r>
    <w:r>
      <w:rPr>
        <w:rFonts w:ascii="Times New Roman" w:hAnsi="Times New Roman"/>
        <w:color w:val="808080"/>
        <w:sz w:val="18"/>
      </w:rPr>
      <w:t xml:space="preserve"> — DRAFT v1.0 — 14/05/2026</w:t>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21">
    <w:nsid w:val="00A9972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it-IT"/>
      </w:rPr>
    </w:rPrDefault>
    <w:pPrDefault>
      <w:pPr>
        <w:spacing w:after="200"/>
      </w:pPr>
    </w:pPrDefault>
  </w:docDefaults>
  <w:latentStyles w:count="276" w:defLockedState="0" w:defQFormat="0" w:defSemiHidden="0" w:defUIPriority="0" w:defUnhideWhenUsed="0"/>
  <w:style w:default="1" w:styleId="Normal" w:type="paragraph">
    <w:name w:val="Normal"/>
    <w:qFormat/>
    <w:rPr>
      <w:rFonts w:ascii="Times New Roman" w:cs="Times New Roman" w:hAnsi="Times New Roman"/>
      <w:b w:val="0"/>
      <w:color w:val="000000"/>
      <w:sz w:val="24"/>
    </w:rPr>
  </w:style>
  <w:style w:styleId="BodyText" w:type="paragraph">
    <w:name w:val="Body Text"/>
    <w:basedOn w:val="Normal"/>
    <w:link w:val="BodyTextChar"/>
    <w:qFormat/>
    <w:pPr>
      <w:spacing w:after="180" w:before="180"/>
    </w:pPr>
    <w:rPr>
      <w:rFonts w:ascii="Times New Roman" w:cs="Times New Roman" w:hAnsi="Times New Roman"/>
      <w:b w:val="0"/>
      <w:color w:val="000000"/>
      <w:sz w:val="24"/>
    </w:r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imes New Roman" w:cs="Times New Roman" w:hAnsi="Times New Roman"/>
      <w:b/>
      <w:color w:val="8C1A23"/>
      <w:sz w:val="52"/>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imes New Roman" w:cs="Times New Roman" w:hAnsi="Times New Roman"/>
      <w:b/>
      <w:color w:val="8C1A23"/>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imes New Roman" w:cs="Times New Roman" w:hAnsi="Times New Roman"/>
      <w:b/>
      <w:color w:val="8C1A23"/>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ascii="Times New Roman" w:cs="Times New Roman" w:hAnsi="Times New Roman"/>
      <w:b/>
      <w:color w:val="8C1A23"/>
      <w:sz w:val="26"/>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8" Target="numbering.xml" /><Relationship Type="http://schemas.openxmlformats.org/officeDocument/2006/relationships/styles" Id="rId17" Target="styles.xml" /><Relationship Type="http://schemas.openxmlformats.org/officeDocument/2006/relationships/settings" Id="rId16" Target="settings.xml" /><Relationship Type="http://schemas.openxmlformats.org/officeDocument/2006/relationships/webSettings" Id="rId15" Target="webSettings.xml" /><Relationship Type="http://schemas.openxmlformats.org/officeDocument/2006/relationships/fontTable" Id="rId14" Target="fontTable.xml" /><Relationship Type="http://schemas.openxmlformats.org/officeDocument/2006/relationships/theme" Id="rId13" Target="theme/theme1.xml" /><Relationship Type="http://schemas.openxmlformats.org/officeDocument/2006/relationships/footnotes" Id="rId12" Target="footnotes.xml" /><Relationship Type="http://schemas.openxmlformats.org/officeDocument/2006/relationships/comments" Id="rId11"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4" Target="./elenco-sub-processor.md" TargetMode="External" /></Relationships>
</file>

<file path=word/_rels/footnotes.xml.rels><?xml version="1.0" encoding="UTF-8"?><Relationships xmlns="http://schemas.openxmlformats.org/package/2006/relationships"><Relationship Type="http://schemas.openxmlformats.org/officeDocument/2006/relationships/hyperlink" Id="rId24" Target="./elenco-sub-processor.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Termini e Condizioni del Servizio</dc:title>
  <dc:creator>A-ESP — Bozza per consulenza legale</dc:creator>
  <dc:language>it-IT</dc:language>
  <dc:subject>Documento legale draft v1.0 (pendente revisione consulente)</dc:subject>
  <cp:keywords/>
  <dcterms:created xsi:type="dcterms:W3CDTF">2026-05-14T09:28:23Z</dcterms:created>
  <dcterms:modified xsi:type="dcterms:W3CDTF">2026-05-14T09:28:23Z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14/05/2026</vt:lpwstr>
  </property>
</Properties>
</file>