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Elenco Sub-responsabili del Trattamento</w:t>
      </w:r>
    </w:p>
    <w:p>
      <w:pPr>
        <w:pStyle w:val="Author"/>
      </w:pPr>
      <w:r>
        <w:t xml:space="preserve">A-ESP — Bozza per consulenza legale</w:t>
      </w:r>
    </w:p>
    <w:p>
      <w:pPr>
        <w:pStyle w:val="Date"/>
      </w:pPr>
      <w:r>
        <w:t xml:space="preserve">14/05/2026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X6b5a200aa8fbee7977c1d37ce6c724d788af82d"/>
    <w:p>
      <w:pPr>
        <w:pStyle w:val="Heading1"/>
      </w:pPr>
      <w:r>
        <w:t xml:space="preserve">Elenco dei Sub-responsabili del Trattamento (Sub-processor)</w:t>
      </w:r>
    </w:p>
    <w:p>
      <w:pPr>
        <w:pStyle w:val="FirstParagraph"/>
      </w:pPr>
      <w:r>
        <w:rPr>
          <w:b/>
          <w:bCs/>
        </w:rPr>
        <w:t xml:space="preserve">ex Art. 28 e 30 GDPR</w:t>
      </w:r>
    </w:p>
    <w:p>
      <w:pPr>
        <w:pStyle w:val="BodyText"/>
      </w:pPr>
      <w:r>
        <w:rPr>
          <w:b/>
          <w:bCs/>
        </w:rPr>
        <w:t xml:space="preserve">Versione:</w:t>
      </w:r>
      <w:r>
        <w:t xml:space="preserve"> </w:t>
      </w:r>
      <w:r>
        <w:t xml:space="preserve">1.0 — DRAFT</w:t>
      </w:r>
      <w:r>
        <w:t xml:space="preserve"> </w:t>
      </w:r>
      <w:r>
        <w:rPr>
          <w:b/>
          <w:bCs/>
        </w:rPr>
        <w:t xml:space="preserve">Ultimo aggiornamento:</w:t>
      </w:r>
      <w:r>
        <w:t xml:space="preserve"> </w:t>
      </w:r>
      <w:r>
        <w:t xml:space="preserve">[DATA DI PUBBLICAZIONE]</w:t>
      </w:r>
      <w:r>
        <w:t xml:space="preserve"> </w:t>
      </w:r>
      <w:r>
        <w:rPr>
          <w:b/>
          <w:bCs/>
        </w:rPr>
        <w:t xml:space="preserve">Audience:</w:t>
      </w:r>
      <w:r>
        <w:t xml:space="preserve"> </w:t>
      </w:r>
      <w:r>
        <w:t xml:space="preserve">Utenti del Servizio + documentazione interna di compliance</w:t>
      </w:r>
    </w:p>
    <w:p>
      <w:r>
        <w:pict>
          <v:rect style="width:0;height:1.5pt" o:hralign="center" o:hrstd="t" o:hr="t"/>
        </w:pict>
      </w:r>
    </w:p>
    <w:bookmarkStart w:id="19" w:name="premessa"/>
    <w:p>
      <w:pPr>
        <w:pStyle w:val="Heading2"/>
      </w:pPr>
      <w:r>
        <w:t xml:space="preserve">1. Premessa</w:t>
      </w:r>
    </w:p>
    <w:p>
      <w:pPr>
        <w:pStyle w:val="FirstParagraph"/>
      </w:pPr>
      <w:r>
        <w:t xml:space="preserve">Per erogare il Servizio A-ESP, il Titolare del Trattamento (</w:t>
      </w:r>
      <w:r>
        <w:rPr>
          <w:b/>
          <w:bCs/>
        </w:rPr>
        <w:t xml:space="preserve">[RAGIONE SOCIALE]</w:t>
      </w:r>
      <w:r>
        <w:t xml:space="preserve">) si avvale di fornitori tecnologici (sub-responsabili o “sub-processor”), nominati ai sensi dell’Art. 28 GDPR con appositi accordi (Data Processing Agreement, DPA) che impongono garanzie equivalenti a quelle del Titolare.</w:t>
      </w:r>
    </w:p>
    <w:p>
      <w:pPr>
        <w:pStyle w:val="BodyText"/>
      </w:pPr>
      <w:r>
        <w:t xml:space="preserve">L’elenco è pubblicato e mantenuto aggiornato in questa pagina. Modifiche significative (aggiunta o sostituzione di un sub-processor) sono notificate agli Utenti con preavviso di almeno</w:t>
      </w:r>
      <w:r>
        <w:t xml:space="preserve"> </w:t>
      </w:r>
      <w:r>
        <w:rPr>
          <w:b/>
          <w:bCs/>
        </w:rPr>
        <w:t xml:space="preserve">30 giorni</w:t>
      </w:r>
      <w:r>
        <w:t xml:space="preserve"> </w:t>
      </w:r>
      <w:r>
        <w:t xml:space="preserve">via email o avviso in app, consentendo all’Utente di opporsi e — eventualmente — recedere senza penali.</w:t>
      </w:r>
    </w:p>
    <w:p>
      <w:r>
        <w:pict>
          <v:rect style="width:0;height:1.5pt" o:hralign="center" o:hrstd="t" o:hr="t"/>
        </w:pict>
      </w:r>
    </w:p>
    <w:bookmarkEnd w:id="19"/>
    <w:bookmarkStart w:id="26" w:name="tabella-sub-processor-attivi"/>
    <w:p>
      <w:pPr>
        <w:pStyle w:val="Heading2"/>
      </w:pPr>
      <w:r>
        <w:t xml:space="preserve">2. Tabella sub-processor attivi</w:t>
      </w:r>
    </w:p>
    <w:bookmarkStart w:id="20" w:name="provider-modelli-ai-llm"/>
    <w:p>
      <w:pPr>
        <w:pStyle w:val="Heading3"/>
      </w:pPr>
      <w:r>
        <w:t xml:space="preserve">2.1 Provider Modelli AI (LLM)</w:t>
      </w:r>
    </w:p>
    <w:tbl>
      <w:tblPr>
        <w:tblStyle w:val="Table"/>
        <w:tblW w:type="pct" w:w="4256"/>
        <w:tblLayout w:type="fixed"/>
        <w:tblLook w:firstRow="1" w:lastRow="0" w:firstColumn="0" w:lastColumn="0" w:noHBand="0" w:noVBand="0" w:val="0020"/>
      </w:tblPr>
      <w:tblGrid>
        <w:gridCol w:w="963"/>
        <w:gridCol w:w="963"/>
        <w:gridCol w:w="963"/>
        <w:gridCol w:w="963"/>
        <w:gridCol w:w="963"/>
        <w:gridCol w:w="963"/>
        <w:gridCol w:w="96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Fornitore</w:t>
            </w:r>
          </w:p>
        </w:tc>
        <w:tc>
          <w:tcPr/>
          <w:p>
            <w:pPr>
              <w:pStyle w:val="Compact"/>
            </w:pPr>
            <w:r>
              <w:t xml:space="preserve">Sede legale</w:t>
            </w:r>
          </w:p>
        </w:tc>
        <w:tc>
          <w:tcPr/>
          <w:p>
            <w:pPr>
              <w:pStyle w:val="Compact"/>
            </w:pPr>
            <w:r>
              <w:t xml:space="preserve">Sede trattamento</w:t>
            </w:r>
          </w:p>
        </w:tc>
        <w:tc>
          <w:tcPr/>
          <w:p>
            <w:pPr>
              <w:pStyle w:val="Compact"/>
            </w:pPr>
            <w:r>
              <w:t xml:space="preserve">Finalità</w:t>
            </w:r>
          </w:p>
        </w:tc>
        <w:tc>
          <w:tcPr/>
          <w:p>
            <w:pPr>
              <w:pStyle w:val="Compact"/>
            </w:pPr>
            <w:r>
              <w:t xml:space="preserve">Dati trasmessi</w:t>
            </w:r>
          </w:p>
        </w:tc>
        <w:tc>
          <w:tcPr/>
          <w:p>
            <w:pPr>
              <w:pStyle w:val="Compact"/>
            </w:pPr>
            <w:r>
              <w:t xml:space="preserve">Misure di garanzia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Anthropic, PBC</w:t>
            </w:r>
          </w:p>
        </w:tc>
        <w:tc>
          <w:tcPr/>
          <w:p>
            <w:pPr>
              <w:pStyle w:val="Compact"/>
            </w:pPr>
            <w:r>
              <w:t xml:space="preserve">San Francisco, CA, USA</w:t>
            </w:r>
          </w:p>
        </w:tc>
        <w:tc>
          <w:tcPr/>
          <w:p>
            <w:pPr>
              <w:pStyle w:val="Compact"/>
            </w:pPr>
            <w:r>
              <w:t xml:space="preserve">USA</w:t>
            </w:r>
          </w:p>
        </w:tc>
        <w:tc>
          <w:tcPr/>
          <w:p>
            <w:pPr>
              <w:pStyle w:val="Compact"/>
            </w:pPr>
            <w:r>
              <w:t xml:space="preserve">Estrazione AI dei metadati (Claude Haiku/Sonnet/Opus); chat segretario AI</w:t>
            </w:r>
          </w:p>
        </w:tc>
        <w:tc>
          <w:tcPr/>
          <w:p>
            <w:pPr>
              <w:pStyle w:val="Compact"/>
            </w:pPr>
            <w:r>
              <w:t xml:space="preserve">Testo sanitizzato dell’email (subject, sender, body) + testo allegati PDF estratti</w:t>
            </w:r>
          </w:p>
        </w:tc>
        <w:tc>
          <w:tcPr/>
          <w:p>
            <w:pPr>
              <w:pStyle w:val="Compact"/>
            </w:pPr>
            <w:r>
              <w:t xml:space="preserve">Enterprise API con</w:t>
            </w:r>
            <w:r>
              <w:t xml:space="preserve"> </w:t>
            </w:r>
            <w:r>
              <w:rPr>
                <w:b/>
                <w:bCs/>
              </w:rPr>
              <w:t xml:space="preserve">clausola Zero Data Retention</w:t>
            </w:r>
            <w:r>
              <w:t xml:space="preserve"> </w:t>
            </w:r>
            <w:r>
              <w:t xml:space="preserve">(no training, no logging) + SCC UE 2021/914 + Data Privacy Framework UE-USA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Google LLC</w:t>
            </w:r>
            <w:r>
              <w:t xml:space="preserve"> </w:t>
            </w:r>
            <w:r>
              <w:t xml:space="preserve">(Cloud / Vertex AI)</w:t>
            </w:r>
          </w:p>
        </w:tc>
        <w:tc>
          <w:tcPr/>
          <w:p>
            <w:pPr>
              <w:pStyle w:val="Compact"/>
            </w:pPr>
            <w:r>
              <w:t xml:space="preserve">Mountain View, CA, USA</w:t>
            </w:r>
          </w:p>
        </w:tc>
        <w:tc>
          <w:tcPr/>
          <w:p>
            <w:pPr>
              <w:pStyle w:val="Compact"/>
            </w:pPr>
            <w:r>
              <w:t xml:space="preserve">UE (region</w:t>
            </w:r>
            <w:r>
              <w:t xml:space="preserve"> </w:t>
            </w:r>
            <w:r>
              <w:rPr>
                <w:rStyle w:val="VerbatimChar"/>
              </w:rPr>
              <w:t xml:space="preserve">europe-west1</w:t>
            </w:r>
            <w:r>
              <w:t xml:space="preserve">) ove possibile</w:t>
            </w:r>
          </w:p>
        </w:tc>
        <w:tc>
          <w:tcPr/>
          <w:p>
            <w:pPr>
              <w:pStyle w:val="Compact"/>
            </w:pPr>
            <w:r>
              <w:t xml:space="preserve">Embedding semantici (</w:t>
            </w:r>
            <w:r>
              <w:rPr>
                <w:rStyle w:val="VerbatimChar"/>
              </w:rPr>
              <w:t xml:space="preserve">gemini-embedding-001</w:t>
            </w:r>
            <w:r>
              <w:t xml:space="preserve">); fallback extraction (Gemini Flash)</w:t>
            </w:r>
          </w:p>
        </w:tc>
        <w:tc>
          <w:tcPr/>
          <w:p>
            <w:pPr>
              <w:pStyle w:val="Compact"/>
            </w:pPr>
            <w:r>
              <w:t xml:space="preserve">Testo sanitizzato + categoria</w:t>
            </w:r>
          </w:p>
        </w:tc>
        <w:tc>
          <w:tcPr/>
          <w:p>
            <w:pPr>
              <w:pStyle w:val="Compact"/>
            </w:pPr>
            <w:r>
              <w:t xml:space="preserve">Vertex AI in regione UE,</w:t>
            </w:r>
            <w:r>
              <w:t xml:space="preserve"> </w:t>
            </w:r>
            <w:r>
              <w:rPr>
                <w:b/>
                <w:bCs/>
              </w:rPr>
              <w:t xml:space="preserve">niente uso per training</w:t>
            </w:r>
            <w:r>
              <w:t xml:space="preserve">, SCC UE 2021/914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OpenCode (Zen)</w:t>
            </w:r>
          </w:p>
        </w:tc>
        <w:tc>
          <w:tcPr/>
          <w:p>
            <w:pPr>
              <w:pStyle w:val="Compact"/>
            </w:pPr>
            <w:r>
              <w:t xml:space="preserve">[Verificare sede legale del provider, USA o UE]</w:t>
            </w:r>
          </w:p>
        </w:tc>
        <w:tc>
          <w:tcPr/>
          <w:p>
            <w:pPr>
              <w:pStyle w:val="Compact"/>
            </w:pPr>
            <w:r>
              <w:t xml:space="preserve">Variabile per modello upstream (DeepSeek, Kimi, Qwen, MiMo, GLM)</w:t>
            </w:r>
          </w:p>
        </w:tc>
        <w:tc>
          <w:tcPr/>
          <w:p>
            <w:pPr>
              <w:pStyle w:val="Compact"/>
            </w:pPr>
            <w:r>
              <w:t xml:space="preserve">Provider alternativo per estrazione (configurabile da admin)</w:t>
            </w:r>
          </w:p>
        </w:tc>
        <w:tc>
          <w:tcPr/>
          <w:p>
            <w:pPr>
              <w:pStyle w:val="Compact"/>
            </w:pPr>
            <w:r>
              <w:t xml:space="preserve">Testo sanitizzato</w:t>
            </w:r>
          </w:p>
        </w:tc>
        <w:tc>
          <w:tcPr/>
          <w:p>
            <w:pPr>
              <w:pStyle w:val="Compact"/>
            </w:pPr>
            <w:r>
              <w:t xml:space="preserve">DPA standard, ZDR ove dichiarato dal provider upstream —</w:t>
            </w:r>
            <w:r>
              <w:t xml:space="preserve"> </w:t>
            </w:r>
            <w:r>
              <w:rPr>
                <w:b/>
                <w:bCs/>
              </w:rPr>
              <w:t xml:space="preserve">da verificare caso per caso per ogni modello attivato</w:t>
            </w:r>
          </w:p>
        </w:tc>
      </w:tr>
    </w:tbl>
    <w:p>
      <w:pPr>
        <w:pStyle w:val="BodyText"/>
      </w:pPr>
      <w:r>
        <w:rPr>
          <w:b/>
          <w:bCs/>
        </w:rPr>
        <w:t xml:space="preserve">Garanzia comune:</w:t>
      </w:r>
      <w:r>
        <w:t xml:space="preserve"> </w:t>
      </w:r>
      <w:r>
        <w:t xml:space="preserve">prompt e risposte vengono</w:t>
      </w:r>
      <w:r>
        <w:t xml:space="preserve"> </w:t>
      </w:r>
      <w:r>
        <w:rPr>
          <w:b/>
          <w:bCs/>
        </w:rPr>
        <w:t xml:space="preserve">scartati immediatamente</w:t>
      </w:r>
      <w:r>
        <w:t xml:space="preserve"> </w:t>
      </w:r>
      <w:r>
        <w:t xml:space="preserve">lato fornitore al termine della chiamata API. Nessun fine-tuning, nessuna conservazione, nessun training su dati dei nostri Utenti.</w:t>
      </w:r>
    </w:p>
    <w:bookmarkEnd w:id="20"/>
    <w:bookmarkStart w:id="21" w:name="infrastruttura-cloud"/>
    <w:p>
      <w:pPr>
        <w:pStyle w:val="Heading3"/>
      </w:pPr>
      <w:r>
        <w:t xml:space="preserve">2.2 Infrastruttura Cloud</w:t>
      </w:r>
    </w:p>
    <w:tbl>
      <w:tblPr>
        <w:tblStyle w:val="Table"/>
        <w:tblW w:type="pct" w:w="4253"/>
        <w:tblLayout w:type="fixed"/>
        <w:tblLook w:firstRow="1" w:lastRow="0" w:firstColumn="0" w:lastColumn="0" w:noHBand="0" w:noVBand="0" w:val="0020"/>
      </w:tblPr>
      <w:tblGrid>
        <w:gridCol w:w="1122"/>
        <w:gridCol w:w="1122"/>
        <w:gridCol w:w="1122"/>
        <w:gridCol w:w="1122"/>
        <w:gridCol w:w="1122"/>
        <w:gridCol w:w="112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Fornitore</w:t>
            </w:r>
          </w:p>
        </w:tc>
        <w:tc>
          <w:tcPr/>
          <w:p>
            <w:pPr>
              <w:pStyle w:val="Compact"/>
            </w:pPr>
            <w:r>
              <w:t xml:space="preserve">Sede</w:t>
            </w:r>
          </w:p>
        </w:tc>
        <w:tc>
          <w:tcPr/>
          <w:p>
            <w:pPr>
              <w:pStyle w:val="Compact"/>
            </w:pPr>
            <w:r>
              <w:t xml:space="preserve">Servizio</w:t>
            </w:r>
          </w:p>
        </w:tc>
        <w:tc>
          <w:tcPr/>
          <w:p>
            <w:pPr>
              <w:pStyle w:val="Compact"/>
            </w:pPr>
            <w:r>
              <w:t xml:space="preserve">Dati trattati</w:t>
            </w:r>
          </w:p>
        </w:tc>
        <w:tc>
          <w:tcPr/>
          <w:p>
            <w:pPr>
              <w:pStyle w:val="Compact"/>
            </w:pPr>
            <w:r>
              <w:t xml:space="preserve">Misure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[CLOUD PROVIDER]</w:t>
            </w:r>
            <w:r>
              <w:t xml:space="preserve"> </w:t>
            </w:r>
            <w:r>
              <w:t xml:space="preserve">(es. Google Cloud / AWS / Hetzner)</w:t>
            </w:r>
          </w:p>
        </w:tc>
        <w:tc>
          <w:tcPr/>
          <w:p>
            <w:pPr>
              <w:pStyle w:val="Compact"/>
            </w:pPr>
            <w:r>
              <w:t xml:space="preserve">UE (preferibilmente Frankfurt o Milano)</w:t>
            </w:r>
          </w:p>
        </w:tc>
        <w:tc>
          <w:tcPr/>
          <w:p>
            <w:pPr>
              <w:pStyle w:val="Compact"/>
            </w:pPr>
            <w:r>
              <w:t xml:space="preserve">Hosting applicazione, database PostgreSQL, oggetti storage cifrati</w:t>
            </w:r>
          </w:p>
        </w:tc>
        <w:tc>
          <w:tcPr/>
          <w:p>
            <w:pPr>
              <w:pStyle w:val="Compact"/>
            </w:pPr>
            <w:r>
              <w:t xml:space="preserve">Tutti i dati persistenti (metadati documenti, credenziali OAuth/IMAP cifrate, embedding, log)</w:t>
            </w:r>
          </w:p>
        </w:tc>
        <w:tc>
          <w:tcPr/>
          <w:p>
            <w:pPr>
              <w:pStyle w:val="Compact"/>
            </w:pPr>
            <w:r>
              <w:t xml:space="preserve">Region UE, cifratura at-rest a livello di disco + cifratura applicativa AES-256-GCM, ISO 27001/27017/27018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[POSTGRES MANAGED]</w:t>
            </w:r>
            <w:r>
              <w:t xml:space="preserve"> </w:t>
            </w:r>
            <w:r>
              <w:t xml:space="preserve">(es. Cloud SQL, RDS)</w:t>
            </w:r>
          </w:p>
        </w:tc>
        <w:tc>
          <w:tcPr/>
          <w:p>
            <w:pPr>
              <w:pStyle w:val="Compact"/>
            </w:pPr>
            <w:r>
              <w:t xml:space="preserve">UE</w:t>
            </w:r>
          </w:p>
        </w:tc>
        <w:tc>
          <w:tcPr/>
          <w:p>
            <w:pPr>
              <w:pStyle w:val="Compact"/>
            </w:pPr>
            <w:r>
              <w:t xml:space="preserve">Database relazionale managed con backup automatici</w:t>
            </w:r>
          </w:p>
        </w:tc>
        <w:tc>
          <w:tcPr/>
          <w:p>
            <w:pPr>
              <w:pStyle w:val="Compact"/>
            </w:pPr>
            <w:r>
              <w:t xml:space="preserve">Stesso punto 4</w:t>
            </w:r>
          </w:p>
        </w:tc>
        <w:tc>
          <w:tcPr/>
          <w:p>
            <w:pPr>
              <w:pStyle w:val="Compact"/>
            </w:pPr>
            <w:r>
              <w:t xml:space="preserve">Backup cifrati, point-in-time recovery, accesso limitato via IAM</w:t>
            </w:r>
          </w:p>
        </w:tc>
      </w:tr>
    </w:tbl>
    <w:bookmarkEnd w:id="21"/>
    <w:bookmarkStart w:id="22" w:name="identity-provider-per-oauth-iniziale"/>
    <w:p>
      <w:pPr>
        <w:pStyle w:val="Heading3"/>
      </w:pPr>
      <w:r>
        <w:t xml:space="preserve">2.3 Identity provider (per OAuth iniziale)</w:t>
      </w:r>
    </w:p>
    <w:tbl>
      <w:tblPr>
        <w:tblStyle w:val="Table"/>
        <w:tblW w:type="pct" w:w="4249"/>
        <w:tblLayout w:type="fixed"/>
        <w:tblLook w:firstRow="1" w:lastRow="0" w:firstColumn="0" w:lastColumn="0" w:noHBand="0" w:noVBand="0" w:val="0020"/>
      </w:tblPr>
      <w:tblGrid>
        <w:gridCol w:w="1346"/>
        <w:gridCol w:w="1346"/>
        <w:gridCol w:w="1346"/>
        <w:gridCol w:w="1346"/>
        <w:gridCol w:w="13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Fornitore</w:t>
            </w:r>
          </w:p>
        </w:tc>
        <w:tc>
          <w:tcPr/>
          <w:p>
            <w:pPr>
              <w:pStyle w:val="Compact"/>
            </w:pPr>
            <w:r>
              <w:t xml:space="preserve">Ruolo</w:t>
            </w:r>
          </w:p>
        </w:tc>
        <w:tc>
          <w:tcPr/>
          <w:p>
            <w:pPr>
              <w:pStyle w:val="Compact"/>
            </w:pPr>
            <w:r>
              <w:t xml:space="preserve">Sede</w:t>
            </w:r>
          </w:p>
        </w:tc>
        <w:tc>
          <w:tcPr/>
          <w:p>
            <w:pPr>
              <w:pStyle w:val="Compact"/>
            </w:pPr>
            <w:r>
              <w:t xml:space="preserve">Note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Google LLC</w:t>
            </w:r>
          </w:p>
        </w:tc>
        <w:tc>
          <w:tcPr/>
          <w:p>
            <w:pPr>
              <w:pStyle w:val="Compact"/>
            </w:pPr>
            <w:r>
              <w:t xml:space="preserve">Provider OAuth 2.0 per accesso alle caselle Gmail (scope</w:t>
            </w:r>
            <w:r>
              <w:t xml:space="preserve"> </w:t>
            </w:r>
            <w:r>
              <w:rPr>
                <w:rStyle w:val="VerbatimChar"/>
              </w:rPr>
              <w:t xml:space="preserve">gmail.readonly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calendar.readonly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USA + UE</w:t>
            </w:r>
          </w:p>
        </w:tc>
        <w:tc>
          <w:tcPr/>
          <w:p>
            <w:pPr>
              <w:pStyle w:val="Compact"/>
            </w:pPr>
            <w:r>
              <w:t xml:space="preserve">Adeguatezza UE-USA Data Privacy Framework; A-ESP riceve solo refresh token, mai password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Microsoft Corp.</w:t>
            </w:r>
          </w:p>
        </w:tc>
        <w:tc>
          <w:tcPr/>
          <w:p>
            <w:pPr>
              <w:pStyle w:val="Compact"/>
            </w:pPr>
            <w:r>
              <w:t xml:space="preserve">Provider OAuth 2.0 per Outlook/Microsoft 365 (scope</w:t>
            </w:r>
            <w:r>
              <w:t xml:space="preserve"> </w:t>
            </w:r>
            <w:r>
              <w:rPr>
                <w:rStyle w:val="VerbatimChar"/>
              </w:rPr>
              <w:t xml:space="preserve">Mail.Read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Calendars.Read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USA + UE</w:t>
            </w:r>
          </w:p>
        </w:tc>
        <w:tc>
          <w:tcPr/>
          <w:p>
            <w:pPr>
              <w:pStyle w:val="Compact"/>
            </w:pPr>
            <w:r>
              <w:t xml:space="preserve">SCC + DPF; A-ESP riceve solo refresh token, mai password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Importante:</w:t>
      </w:r>
      <w:r>
        <w:t xml:space="preserve"> </w:t>
      </w:r>
      <w:r>
        <w:t xml:space="preserve">Google e Microsoft sono i provider delle caselle email originali dell’Utente. A-ESP accede alle caselle</w:t>
      </w:r>
      <w:r>
        <w:t xml:space="preserve"> </w:t>
      </w:r>
      <w:r>
        <w:rPr>
          <w:b/>
          <w:bCs/>
        </w:rPr>
        <w:t xml:space="preserve">tramite token revocabili in qualsiasi momento dall’Utente</w:t>
      </w:r>
      <w:r>
        <w:t xml:space="preserve"> </w:t>
      </w:r>
      <w:r>
        <w:t xml:space="preserve">dal pannello del provider. Nessuna password dell’Utente viene mai vista, trasmessa o conservata da A-ESP per i flussi OAuth.</w:t>
      </w:r>
    </w:p>
    <w:bookmarkEnd w:id="22"/>
    <w:bookmarkStart w:id="23" w:name="gestori-pec-italiani"/>
    <w:p>
      <w:pPr>
        <w:pStyle w:val="Heading3"/>
      </w:pPr>
      <w:r>
        <w:t xml:space="preserve">2.4 Gestori PEC italiani</w:t>
      </w:r>
    </w:p>
    <w:p>
      <w:pPr>
        <w:pStyle w:val="FirstParagraph"/>
      </w:pPr>
      <w:r>
        <w:t xml:space="preserve">I gestori PEC accreditati AgID sono</w:t>
      </w:r>
      <w:r>
        <w:t xml:space="preserve"> </w:t>
      </w:r>
      <w:r>
        <w:rPr>
          <w:b/>
          <w:bCs/>
        </w:rPr>
        <w:t xml:space="preserve">autonomi titolari del trattamento</w:t>
      </w:r>
      <w:r>
        <w:t xml:space="preserve"> </w:t>
      </w:r>
      <w:r>
        <w:t xml:space="preserve">per quanto riguarda la conservazione legale delle PEC (DPR 68/2005). A-ESP è un mero “lettore” via IMAPS. Le credenziali PEC sono cifrate AES-256-GCM in transit e at-rest da A-ESP.</w:t>
      </w:r>
    </w:p>
    <w:p>
      <w:pPr>
        <w:pStyle w:val="BodyText"/>
      </w:pPr>
      <w:r>
        <w:t xml:space="preserve">Provider supportati (versione corrente): - Aruba PEC (Aruba S.p.A.) — sede Italia - Legalmail / InfoCert — sede Italia - PosteCert / Poste Italiane — sede Italia - Register.it PEC — sede Italia - Namirial PEC — sede Italia - Actalis PEC — sede Italia - TWT PEC — sede Italia</w:t>
      </w:r>
    </w:p>
    <w:p>
      <w:pPr>
        <w:pStyle w:val="BodyText"/>
      </w:pPr>
      <w:r>
        <w:t xml:space="preserve">[DECISIONE: la lista completa è in</w:t>
      </w:r>
      <w:r>
        <w:t xml:space="preserve"> </w:t>
      </w:r>
      <w:r>
        <w:rPr>
          <w:rStyle w:val="VerbatimChar"/>
        </w:rPr>
        <w:t xml:space="preserve">src/backend/app/services/pec_providers.py</w:t>
      </w:r>
      <w:r>
        <w:t xml:space="preserve">. Il consulente legale può chiedere DPA standard ad ogni gestore PEC? In genere NO — il rapporto contrattuale è tra Utente e gestore, non con A-ESP.]</w:t>
      </w:r>
    </w:p>
    <w:bookmarkEnd w:id="23"/>
    <w:bookmarkStart w:id="24" w:name="servizi-di-pagamento"/>
    <w:p>
      <w:pPr>
        <w:pStyle w:val="Heading3"/>
      </w:pPr>
      <w:r>
        <w:t xml:space="preserve">2.5 Servizi di pagamento</w:t>
      </w:r>
    </w:p>
    <w:p>
      <w:pPr>
        <w:pStyle w:val="FirstParagraph"/>
      </w:pPr>
      <w:r>
        <w:t xml:space="preserve">[DECISIONE: A-ESP utilizza Stripe? Altro PSP? Carta + bonifico SEPA? Da personalizzare.]</w:t>
      </w:r>
    </w:p>
    <w:tbl>
      <w:tblPr>
        <w:tblStyle w:val="Table"/>
        <w:tblW w:type="pct" w:w="4249"/>
        <w:tblLayout w:type="fixed"/>
        <w:tblLook w:firstRow="1" w:lastRow="0" w:firstColumn="0" w:lastColumn="0" w:noHBand="0" w:noVBand="0" w:val="0020"/>
      </w:tblPr>
      <w:tblGrid>
        <w:gridCol w:w="1346"/>
        <w:gridCol w:w="1346"/>
        <w:gridCol w:w="1346"/>
        <w:gridCol w:w="1346"/>
        <w:gridCol w:w="134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Fornitore</w:t>
            </w:r>
          </w:p>
        </w:tc>
        <w:tc>
          <w:tcPr/>
          <w:p>
            <w:pPr>
              <w:pStyle w:val="Compact"/>
            </w:pPr>
            <w:r>
              <w:t xml:space="preserve">Sede</w:t>
            </w:r>
          </w:p>
        </w:tc>
        <w:tc>
          <w:tcPr/>
          <w:p>
            <w:pPr>
              <w:pStyle w:val="Compact"/>
            </w:pPr>
            <w:r>
              <w:t xml:space="preserve">Servizio</w:t>
            </w:r>
          </w:p>
        </w:tc>
        <w:tc>
          <w:tcPr/>
          <w:p>
            <w:pPr>
              <w:pStyle w:val="Compact"/>
            </w:pPr>
            <w:r>
              <w:t xml:space="preserve">Dati trattati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Stripe Payments Europe Ltd.</w:t>
            </w:r>
          </w:p>
        </w:tc>
        <w:tc>
          <w:tcPr/>
          <w:p>
            <w:pPr>
              <w:pStyle w:val="Compact"/>
            </w:pPr>
            <w:r>
              <w:t xml:space="preserve">Irlanda</w:t>
            </w:r>
          </w:p>
        </w:tc>
        <w:tc>
          <w:tcPr/>
          <w:p>
            <w:pPr>
              <w:pStyle w:val="Compact"/>
            </w:pPr>
            <w:r>
              <w:t xml:space="preserve">Processing pagamenti per piani a pagamento</w:t>
            </w:r>
          </w:p>
        </w:tc>
        <w:tc>
          <w:tcPr/>
          <w:p>
            <w:pPr>
              <w:pStyle w:val="Compact"/>
            </w:pPr>
            <w:r>
              <w:t xml:space="preserve">Email, importo, ultime 4 cifre carta, metadati fattura</w:t>
            </w:r>
          </w:p>
        </w:tc>
      </w:tr>
    </w:tbl>
    <w:bookmarkEnd w:id="24"/>
    <w:bookmarkStart w:id="25" w:name="servizi-di-supporto-e-operations"/>
    <w:p>
      <w:pPr>
        <w:pStyle w:val="Heading3"/>
      </w:pPr>
      <w:r>
        <w:t xml:space="preserve">2.6 Servizi di supporto e operations</w:t>
      </w:r>
    </w:p>
    <w:tbl>
      <w:tblPr>
        <w:tblStyle w:val="Table"/>
        <w:tblW w:type="pct" w:w="4244"/>
        <w:tblLayout w:type="fixed"/>
        <w:tblLook w:firstRow="1" w:lastRow="0" w:firstColumn="0" w:lastColumn="0" w:noHBand="0" w:noVBand="0" w:val="0020"/>
      </w:tblPr>
      <w:tblGrid>
        <w:gridCol w:w="1680"/>
        <w:gridCol w:w="1680"/>
        <w:gridCol w:w="1680"/>
        <w:gridCol w:w="16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Fornitore</w:t>
            </w:r>
          </w:p>
        </w:tc>
        <w:tc>
          <w:tcPr/>
          <w:p>
            <w:pPr>
              <w:pStyle w:val="Compact"/>
            </w:pPr>
            <w:r>
              <w:t xml:space="preserve">Sede</w:t>
            </w:r>
          </w:p>
        </w:tc>
        <w:tc>
          <w:tcPr/>
          <w:p>
            <w:pPr>
              <w:pStyle w:val="Compact"/>
            </w:pPr>
            <w:r>
              <w:t xml:space="preserve">Servizio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[Email transactional]</w:t>
            </w:r>
            <w:r>
              <w:t xml:space="preserve"> </w:t>
            </w:r>
            <w:r>
              <w:t xml:space="preserve">(es. Resend, SendGrid, Postmark)</w:t>
            </w:r>
          </w:p>
        </w:tc>
        <w:tc>
          <w:tcPr/>
          <w:p>
            <w:pPr>
              <w:pStyle w:val="Compact"/>
            </w:pPr>
            <w:r>
              <w:t xml:space="preserve">UE</w:t>
            </w:r>
          </w:p>
        </w:tc>
        <w:tc>
          <w:tcPr/>
          <w:p>
            <w:pPr>
              <w:pStyle w:val="Compact"/>
            </w:pPr>
            <w:r>
              <w:t xml:space="preserve">Invio email notifiche e onboarding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[Help desk]</w:t>
            </w:r>
            <w:r>
              <w:t xml:space="preserve"> </w:t>
            </w:r>
            <w:r>
              <w:t xml:space="preserve">(es. Crisp, Intercom)</w:t>
            </w:r>
          </w:p>
        </w:tc>
        <w:tc>
          <w:tcPr/>
          <w:p>
            <w:pPr>
              <w:pStyle w:val="Compact"/>
            </w:pPr>
            <w:r>
              <w:t xml:space="preserve">[da definire]</w:t>
            </w:r>
          </w:p>
        </w:tc>
        <w:tc>
          <w:tcPr/>
          <w:p>
            <w:pPr>
              <w:pStyle w:val="Compact"/>
            </w:pPr>
            <w:r>
              <w:t xml:space="preserve">Supporto clienti via chat — solo se Utente lo apre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[Error tracking]</w:t>
            </w:r>
            <w:r>
              <w:t xml:space="preserve"> </w:t>
            </w:r>
            <w:r>
              <w:t xml:space="preserve">(es. Sentry self-hosted, Bugsnag)</w:t>
            </w:r>
          </w:p>
        </w:tc>
        <w:tc>
          <w:tcPr/>
          <w:p>
            <w:pPr>
              <w:pStyle w:val="Compact"/>
            </w:pPr>
            <w:r>
              <w:t xml:space="preserve">UE preferibilmente</w:t>
            </w:r>
          </w:p>
        </w:tc>
        <w:tc>
          <w:tcPr/>
          <w:p>
            <w:pPr>
              <w:pStyle w:val="Compact"/>
            </w:pPr>
            <w:r>
              <w:t xml:space="preserve">Tracciamento errori applicativi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[Monitoring]</w:t>
            </w:r>
            <w:r>
              <w:t xml:space="preserve"> </w:t>
            </w:r>
            <w:r>
              <w:t xml:space="preserve">(es. Grafana Cloud, Datadog)</w:t>
            </w:r>
          </w:p>
        </w:tc>
        <w:tc>
          <w:tcPr/>
          <w:p>
            <w:pPr>
              <w:pStyle w:val="Compact"/>
            </w:pPr>
            <w:r>
              <w:t xml:space="preserve">UE preferibilmente</w:t>
            </w:r>
          </w:p>
        </w:tc>
        <w:tc>
          <w:tcPr/>
          <w:p>
            <w:pPr>
              <w:pStyle w:val="Compact"/>
            </w:pPr>
            <w:r>
              <w:t xml:space="preserve">Metriche di sistema e uptime</w:t>
            </w:r>
          </w:p>
        </w:tc>
      </w:tr>
    </w:tbl>
    <w:p>
      <w:pPr>
        <w:pStyle w:val="BodyText"/>
      </w:pPr>
      <w:r>
        <w:t xml:space="preserve">[DECISIONE: ognuna di queste categorie va riempita una volta definito lo stack. Per la beta privata possono essere minimi (no help desk, no monitoring esterno).]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trasferimenti-extra-ue"/>
    <w:p>
      <w:pPr>
        <w:pStyle w:val="Heading2"/>
      </w:pPr>
      <w:r>
        <w:t xml:space="preserve">3. Trasferimenti extra-UE</w:t>
      </w:r>
    </w:p>
    <w:p>
      <w:pPr>
        <w:pStyle w:val="FirstParagraph"/>
      </w:pPr>
      <w:r>
        <w:t xml:space="preserve">Alcuni sub-processor (Anthropic in primis) trattano dati negli USA. A-ESP applica le seguenti misure cumulative per i trasferimenti: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Decisione di adeguatezza UE-USA Data Privacy Framework</w:t>
      </w:r>
      <w:r>
        <w:t xml:space="preserve"> </w:t>
      </w:r>
      <w:r>
        <w:t xml:space="preserve">(Decisione di esecuzione UE 2023/1795), ove il fornitore è certificato;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Clausole Contrattuali Standard (SCC)</w:t>
      </w:r>
      <w:r>
        <w:t xml:space="preserve"> </w:t>
      </w:r>
      <w:r>
        <w:t xml:space="preserve">UE 2021/914, modulo 2 (Titolare → Responsabile);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Transfer Impact Assessment (TIA)</w:t>
      </w:r>
      <w:r>
        <w:t xml:space="preserve"> </w:t>
      </w:r>
      <w:r>
        <w:t xml:space="preserve">documentato internamente per ciascun fornitore non-UE;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Misure supplementari</w:t>
      </w:r>
      <w:r>
        <w:t xml:space="preserve">:</w:t>
      </w:r>
    </w:p>
    <w:p>
      <w:pPr>
        <w:pStyle w:val="Compact"/>
        <w:numPr>
          <w:ilvl w:val="1"/>
          <w:numId w:val="1002"/>
        </w:numPr>
      </w:pPr>
      <w:r>
        <w:t xml:space="preserve">Minimizzazione dei dati trasmessi (no PII identificative chiare → uso di IRI interni);</w:t>
      </w:r>
    </w:p>
    <w:p>
      <w:pPr>
        <w:pStyle w:val="Compact"/>
        <w:numPr>
          <w:ilvl w:val="1"/>
          <w:numId w:val="1002"/>
        </w:numPr>
      </w:pPr>
      <w:r>
        <w:t xml:space="preserve">Cifratura TLS 1.3 in transito;</w:t>
      </w:r>
    </w:p>
    <w:p>
      <w:pPr>
        <w:pStyle w:val="Compact"/>
        <w:numPr>
          <w:ilvl w:val="1"/>
          <w:numId w:val="1002"/>
        </w:numPr>
      </w:pPr>
      <w:r>
        <w:t xml:space="preserve">Clausola ZDR enterprise (no logging lato provider);</w:t>
      </w:r>
    </w:p>
    <w:p>
      <w:pPr>
        <w:pStyle w:val="Compact"/>
        <w:numPr>
          <w:ilvl w:val="1"/>
          <w:numId w:val="1002"/>
        </w:numPr>
      </w:pPr>
      <w:r>
        <w:t xml:space="preserve">Audit interno trimestrale dei contratti.</w:t>
      </w:r>
    </w:p>
    <w:p>
      <w:pPr>
        <w:pStyle w:val="FirstParagraph"/>
      </w:pPr>
      <w:r>
        <w:t xml:space="preserve">[DECISIONE: lo studio legale validerà i TIA caso per caso. In particolare verificare lo status del DPF al momento della pubblicazione (la decisione UE è stata oggetto di ricorsi).]</w:t>
      </w:r>
    </w:p>
    <w:p>
      <w:r>
        <w:pict>
          <v:rect style="width:0;height:1.5pt" o:hralign="center" o:hrstd="t" o:hr="t"/>
        </w:pict>
      </w:r>
    </w:p>
    <w:bookmarkEnd w:id="27"/>
    <w:bookmarkStart w:id="28" w:name="dpa-contrattuali"/>
    <w:p>
      <w:pPr>
        <w:pStyle w:val="Heading2"/>
      </w:pPr>
      <w:r>
        <w:t xml:space="preserve">4. DPA contrattuali</w:t>
      </w:r>
    </w:p>
    <w:p>
      <w:pPr>
        <w:pStyle w:val="FirstParagraph"/>
      </w:pPr>
      <w:r>
        <w:t xml:space="preserve">Il Titolare ha sottoscritto Data Processing Agreement (DPA) o accordi equivalenti con i sub-processor elencati. Copia dei DPA è disponibile su richiesta dell’Utente per esercizio del diritto di accesso, presentando richiesta motivata a privacy@[DOMINIO].</w:t>
      </w:r>
    </w:p>
    <w:p>
      <w:pPr>
        <w:pStyle w:val="BodyText"/>
      </w:pPr>
      <w:r>
        <w:t xml:space="preserve">[DECISIONE: standardizzare la formulazione del DPA con un template fornito dal consulente legale, da firmare con ogni fornitore]</w:t>
      </w:r>
    </w:p>
    <w:p>
      <w:r>
        <w:pict>
          <v:rect style="width:0;height:1.5pt" o:hralign="center" o:hrstd="t" o:hr="t"/>
        </w:pict>
      </w:r>
    </w:p>
    <w:bookmarkEnd w:id="28"/>
    <w:bookmarkStart w:id="29" w:name="modifiche-allelenco"/>
    <w:p>
      <w:pPr>
        <w:pStyle w:val="Heading2"/>
      </w:pPr>
      <w:r>
        <w:t xml:space="preserve">5. Modifiche all’elenco</w:t>
      </w:r>
    </w:p>
    <w:p>
      <w:pPr>
        <w:pStyle w:val="FirstParagraph"/>
      </w:pPr>
      <w:r>
        <w:t xml:space="preserve">Il Titolare si riserva di: -</w:t>
      </w:r>
      <w:r>
        <w:t xml:space="preserve"> </w:t>
      </w:r>
      <w:r>
        <w:rPr>
          <w:b/>
          <w:bCs/>
        </w:rPr>
        <w:t xml:space="preserve">Aggiungere</w:t>
      </w:r>
      <w:r>
        <w:t xml:space="preserve"> </w:t>
      </w:r>
      <w:r>
        <w:t xml:space="preserve">nuovi sub-processor (es. nuovo provider AI, nuovo PSP) con</w:t>
      </w:r>
      <w:r>
        <w:t xml:space="preserve"> </w:t>
      </w:r>
      <w:r>
        <w:rPr>
          <w:b/>
          <w:bCs/>
        </w:rPr>
        <w:t xml:space="preserve">preavviso di almeno 30 giorni</w:t>
      </w:r>
      <w:r>
        <w:t xml:space="preserve"> </w:t>
      </w:r>
      <w:r>
        <w:t xml:space="preserve">all’Utente; -</w:t>
      </w:r>
      <w:r>
        <w:t xml:space="preserve"> </w:t>
      </w:r>
      <w:r>
        <w:rPr>
          <w:b/>
          <w:bCs/>
        </w:rPr>
        <w:t xml:space="preserve">Sostituire</w:t>
      </w:r>
      <w:r>
        <w:t xml:space="preserve"> </w:t>
      </w:r>
      <w:r>
        <w:t xml:space="preserve">un sub-processor per ragioni tecniche, di sicurezza o commerciali con stesso preavviso; -</w:t>
      </w:r>
      <w:r>
        <w:t xml:space="preserve"> </w:t>
      </w:r>
      <w:r>
        <w:rPr>
          <w:b/>
          <w:bCs/>
        </w:rPr>
        <w:t xml:space="preserve">Rimuovere</w:t>
      </w:r>
      <w:r>
        <w:t xml:space="preserve"> </w:t>
      </w:r>
      <w:r>
        <w:t xml:space="preserve">sub-processor non più necessari immediatamente (senza preavviso, in quanto non lesivo dei diritti dell’Utente).</w:t>
      </w:r>
    </w:p>
    <w:p>
      <w:pPr>
        <w:pStyle w:val="BodyText"/>
      </w:pPr>
      <w:r>
        <w:t xml:space="preserve">In caso di disaccordo con un nuovo sub-processor (o sostituzione), l’Utente può</w:t>
      </w:r>
      <w:r>
        <w:t xml:space="preserve"> </w:t>
      </w:r>
      <w:r>
        <w:rPr>
          <w:b/>
          <w:bCs/>
        </w:rPr>
        <w:t xml:space="preserve">recedere senza penali</w:t>
      </w:r>
      <w:r>
        <w:t xml:space="preserve"> </w:t>
      </w:r>
      <w:r>
        <w:t xml:space="preserve">entro 30 giorni dalla notifica.</w:t>
      </w:r>
    </w:p>
    <w:p>
      <w:r>
        <w:pict>
          <v:rect style="width:0;height:1.5pt" o:hralign="center" o:hrstd="t" o:hr="t"/>
        </w:pict>
      </w:r>
    </w:p>
    <w:bookmarkEnd w:id="29"/>
    <w:bookmarkStart w:id="30" w:name="contatti"/>
    <w:p>
      <w:pPr>
        <w:pStyle w:val="Heading2"/>
      </w:pPr>
      <w:r>
        <w:t xml:space="preserve">6. Contatti</w:t>
      </w:r>
    </w:p>
    <w:p>
      <w:pPr>
        <w:pStyle w:val="FirstParagraph"/>
      </w:pPr>
      <w:r>
        <w:t xml:space="preserve">Per richieste relative ai sub-processor: - Email:</w:t>
      </w:r>
      <w:r>
        <w:t xml:space="preserve"> </w:t>
      </w:r>
      <w:r>
        <w:rPr>
          <w:b/>
          <w:bCs/>
        </w:rPr>
        <w:t xml:space="preserve">privacy@[DOMINIO]</w:t>
      </w:r>
      <w:r>
        <w:t xml:space="preserve"> </w:t>
      </w:r>
      <w:r>
        <w:t xml:space="preserve">- DPO (se nominato):</w:t>
      </w:r>
      <w:r>
        <w:t xml:space="preserve"> </w:t>
      </w:r>
      <w:r>
        <w:rPr>
          <w:b/>
          <w:bCs/>
        </w:rPr>
        <w:t xml:space="preserve">dpo@[DOMINIO]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DRAFT. Le righe marcate [DECISIONE: …] richiedono input dal consulente o dal team operativo.</w:t>
      </w:r>
    </w:p>
    <w:bookmarkEnd w:id="30"/>
    <w:bookmarkEnd w:id="31"/>
    <w:sectPr>
      <w:headerReference r:id="rId9" w:type="default"/>
      <w:footerReference r:id="rId10" w:type="default"/>
      <w:footnotePr>
        <w:numRestart w:val="eachSect"/>
      </w:footnotePr>
      <w:pgSz w:h="16838" w:w="11906"/>
      <w:pgMar w:bottom="1134" w:footer="709" w:header="709" w:left="1134" w:right="1134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06060"/>
        <w:sz w:val="18"/>
      </w:rPr>
      <w:t xml:space="preserve">Pag. </w:t>
    </w:r>
    <w:r>
      <w:rPr>
        <w:rFonts w:ascii="Times New Roman" w:hAnsi="Times New Roman"/>
        <w:color w:val="606060"/>
        <w:sz w:val="18"/>
      </w:rPr>
      <w:fldChar w:fldCharType="begin"/>
      <w:instrText xml:space="preserve"> PAGE </w:instrText>
      <w:fldChar w:fldCharType="separate"/>
      <w:t/>
      <w:fldChar w:fldCharType="end"/>
    </w:r>
    <w:r>
      <w:rPr>
        <w:rFonts w:ascii="Times New Roman" w:hAnsi="Times New Roman"/>
        <w:color w:val="606060"/>
        <w:sz w:val="18"/>
      </w:rPr>
      <w:t xml:space="preserve"> di </w:t>
    </w:r>
    <w:r>
      <w:rPr>
        <w:rFonts w:ascii="Times New Roman" w:hAnsi="Times New Roman"/>
        <w:color w:val="606060"/>
        <w:sz w:val="18"/>
      </w:rPr>
      <w:fldChar w:fldCharType="begin"/>
      <w:instrText xml:space="preserve"> NUMPAGES </w:instrText>
      <w:fldChar w:fldCharType="separate"/>
      <w:t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color w:val="808080"/>
        <w:sz w:val="18"/>
      </w:rPr>
      <w:fldChar w:fldCharType="begin"/>
      <w:instrText xml:space="preserve"> TITLE  \* MERGEFORMAT </w:instrText>
      <w:fldChar w:fldCharType="separate"/>
      <w:t/>
      <w:fldChar w:fldCharType="end"/>
    </w:r>
    <w:r>
      <w:rPr>
        <w:rFonts w:ascii="Times New Roman" w:hAnsi="Times New Roman"/>
        <w:color w:val="808080"/>
        <w:sz w:val="18"/>
      </w:rPr>
      <w:t xml:space="preserve"> — DRAFT v1.0 — 14/05/2026</w:t>
    </w: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it-I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Times New Roman" w:cs="Times New Roman" w:hAnsi="Times New Roman"/>
      <w:b w:val="0"/>
      <w:color w:val="000000"/>
      <w:sz w:val="24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>
      <w:rFonts w:ascii="Times New Roman" w:cs="Times New Roman" w:hAnsi="Times New Roman"/>
      <w:b w:val="0"/>
      <w:color w:val="000000"/>
      <w:sz w:val="24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="Times New Roman" w:cs="Times New Roman" w:hAnsi="Times New Roman"/>
      <w:b/>
      <w:color w:val="8C1A23"/>
      <w:sz w:val="5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="Times New Roman" w:cs="Times New Roman" w:hAnsi="Times New Roman"/>
      <w:b/>
      <w:color w:val="8C1A2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="Times New Roman" w:cs="Times New Roman" w:hAnsi="Times New Roman"/>
      <w:b/>
      <w:color w:val="8C1A23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ascii="Times New Roman" w:cs="Times New Roman" w:hAnsi="Times New Roman"/>
      <w:b/>
      <w:color w:val="8C1A23"/>
      <w:sz w:val="26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Sub-responsabili del Trattamento</dc:title>
  <dc:creator>A-ESP — Bozza per consulenza legale</dc:creator>
  <dc:language>it-IT</dc:language>
  <dc:subject>Documento legale draft v1.0 (pendente revisione consulente)</dc:subject>
  <cp:keywords/>
  <dcterms:created xsi:type="dcterms:W3CDTF">2026-05-14T09:28:24Z</dcterms:created>
  <dcterms:modified xsi:type="dcterms:W3CDTF">2026-05-14T09:28:24Z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14/05/2026</vt:lpwstr>
  </property>
</Properties>
</file>