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Informativa sul Trattamento dei Dati Personali</w:t>
      </w:r>
    </w:p>
    <w:p>
      <w:pPr>
        <w:pStyle w:val="Author"/>
      </w:pPr>
      <w:r>
        <w:t xml:space="preserve">A-ESP — Bozza per consulenza legale</w:t>
      </w:r>
    </w:p>
    <w:p>
      <w:pPr>
        <w:pStyle w:val="Date"/>
      </w:pPr>
      <w:r>
        <w:t xml:space="preserve">14/05/2026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8" w:name="Xd13310c0d5d8ae4396e9453d9538d637cb6448a"/>
    <w:p>
      <w:pPr>
        <w:pStyle w:val="Heading1"/>
      </w:pPr>
      <w:r>
        <w:t xml:space="preserve">Informativa sul trattamento dei dati personali</w:t>
      </w:r>
    </w:p>
    <w:p>
      <w:pPr>
        <w:pStyle w:val="FirstParagraph"/>
      </w:pPr>
      <w:r>
        <w:rPr>
          <w:b/>
          <w:bCs/>
        </w:rPr>
        <w:t xml:space="preserve">ex Art. 13 e 14 del Regolamento UE 2016/679 (GDPR)</w:t>
      </w:r>
      <w:r>
        <w:t xml:space="preserve"> </w:t>
      </w:r>
      <w:r>
        <w:t xml:space="preserve">e del Codice in materia di protezione dei dati personali (D.Lgs. 196/2003 come modificato dal D.Lgs. 101/2018).</w:t>
      </w:r>
    </w:p>
    <w:p>
      <w:pPr>
        <w:pStyle w:val="BodyText"/>
      </w:pPr>
      <w:r>
        <w:rPr>
          <w:b/>
          <w:bCs/>
        </w:rPr>
        <w:t xml:space="preserve">Versione:</w:t>
      </w:r>
      <w:r>
        <w:t xml:space="preserve"> </w:t>
      </w:r>
      <w:r>
        <w:t xml:space="preserve">1.0 — DRAFT</w:t>
      </w:r>
      <w:r>
        <w:t xml:space="preserve"> </w:t>
      </w:r>
      <w:r>
        <w:rPr>
          <w:b/>
          <w:bCs/>
        </w:rPr>
        <w:t xml:space="preserve">Ultimo aggiornamento:</w:t>
      </w:r>
      <w:r>
        <w:t xml:space="preserve"> </w:t>
      </w:r>
      <w:r>
        <w:t xml:space="preserve">[DATA DI PUBBLICAZIONE]</w:t>
      </w:r>
    </w:p>
    <w:p>
      <w:r>
        <w:pict>
          <v:rect style="width:0;height:1.5pt" o:hralign="center" o:hrstd="t" o:hr="t"/>
        </w:pict>
      </w:r>
    </w:p>
    <w:bookmarkStart w:id="19" w:name="chi-siamo-titolare-del-trattamento"/>
    <w:p>
      <w:pPr>
        <w:pStyle w:val="Heading2"/>
      </w:pPr>
      <w:r>
        <w:t xml:space="preserve">1. Chi siamo (Titolare del Trattamento)</w:t>
      </w:r>
    </w:p>
    <w:p>
      <w:pPr>
        <w:pStyle w:val="FirstParagraph"/>
      </w:pPr>
      <w:r>
        <w:t xml:space="preserve">Il Titolare del trattamento dei dati personali è:</w:t>
      </w:r>
    </w:p>
    <w:p>
      <w:pPr>
        <w:pStyle w:val="BodyText"/>
      </w:pPr>
      <w:r>
        <w:rPr>
          <w:b/>
          <w:bCs/>
        </w:rPr>
        <w:t xml:space="preserve">[RAGIONE SOCIALE]</w:t>
      </w:r>
      <w:r>
        <w:t xml:space="preserve"> </w:t>
      </w:r>
      <w:r>
        <w:t xml:space="preserve">Sede legale: [INDIRIZZO COMPLETO] P.IVA / C.F.: [VALORE] Iscrizione Registro Imprese: [VALORE] PEC: [INDIRIZZO PEC] Email contatto privacy:</w:t>
      </w:r>
      <w:r>
        <w:t xml:space="preserve"> </w:t>
      </w:r>
      <w:r>
        <w:rPr>
          <w:b/>
          <w:bCs/>
        </w:rPr>
        <w:t xml:space="preserve">privacy@[DOMINIO]</w:t>
      </w:r>
    </w:p>
    <w:p>
      <w:pPr>
        <w:pStyle w:val="BodyText"/>
      </w:pPr>
      <w:r>
        <w:t xml:space="preserve">[DECISIONE: nominare DPO? Se sì, contatti:] Responsabile della Protezione dei Dati (DPO): [NOME] — dpo@[DOMINIO]</w:t>
      </w:r>
    </w:p>
    <w:p>
      <w:r>
        <w:pict>
          <v:rect style="width:0;height:1.5pt" o:hralign="center" o:hrstd="t" o:hr="t"/>
        </w:pict>
      </w:r>
    </w:p>
    <w:bookmarkEnd w:id="19"/>
    <w:bookmarkStart w:id="20" w:name="cosè-a-esp"/>
    <w:p>
      <w:pPr>
        <w:pStyle w:val="Heading2"/>
      </w:pPr>
      <w:r>
        <w:t xml:space="preserve">2. Cos’è A-ESP</w:t>
      </w:r>
    </w:p>
    <w:p>
      <w:pPr>
        <w:pStyle w:val="FirstParagraph"/>
      </w:pPr>
      <w:r>
        <w:t xml:space="preserve">A-ESP è una piattaforma SaaS che permette all’utente di</w:t>
      </w:r>
      <w:r>
        <w:t xml:space="preserve"> </w:t>
      </w:r>
      <w:r>
        <w:rPr>
          <w:b/>
          <w:bCs/>
        </w:rPr>
        <w:t xml:space="preserve">leggere in sola lettura</w:t>
      </w:r>
      <w:r>
        <w:t xml:space="preserve"> </w:t>
      </w:r>
      <w:r>
        <w:t xml:space="preserve">le proprie caselle email (Gmail, Outlook, IMAP) e PEC italiane per:</w:t>
      </w:r>
    </w:p>
    <w:p>
      <w:pPr>
        <w:pStyle w:val="Compact"/>
        <w:numPr>
          <w:ilvl w:val="0"/>
          <w:numId w:val="1001"/>
        </w:numPr>
      </w:pPr>
      <w:r>
        <w:t xml:space="preserve">centralizzare la visualizzazione dei messaggi a contenuto amministrativo, fiscale e legale;</w:t>
      </w:r>
    </w:p>
    <w:p>
      <w:pPr>
        <w:pStyle w:val="Compact"/>
        <w:numPr>
          <w:ilvl w:val="0"/>
          <w:numId w:val="1001"/>
        </w:numPr>
      </w:pPr>
      <w:r>
        <w:t xml:space="preserve">estrarre automaticamente, tramite intelligenza artificiale, metadati strutturati (categoria documento, scadenze, importi, riferimenti normativi);</w:t>
      </w:r>
    </w:p>
    <w:p>
      <w:pPr>
        <w:pStyle w:val="Compact"/>
        <w:numPr>
          <w:ilvl w:val="0"/>
          <w:numId w:val="1001"/>
        </w:numPr>
      </w:pPr>
      <w:r>
        <w:t xml:space="preserve">notificare scadenze fiscali e legali, calcolando un indicatore di “rischio economico” personale;</w:t>
      </w:r>
    </w:p>
    <w:p>
      <w:pPr>
        <w:pStyle w:val="Compact"/>
        <w:numPr>
          <w:ilvl w:val="0"/>
          <w:numId w:val="1001"/>
        </w:numPr>
      </w:pPr>
      <w:r>
        <w:t xml:space="preserve">offrire un assistente AI (“Segretario”) per consultazione in linguaggio naturale dell’archivio indicizzato.</w:t>
      </w:r>
    </w:p>
    <w:p>
      <w:pPr>
        <w:pStyle w:val="FirstParagraph"/>
      </w:pPr>
      <w:r>
        <w:rPr>
          <w:b/>
          <w:bCs/>
        </w:rPr>
        <w:t xml:space="preserve">A-ESP NON scarica, NON conserva e NON archivia il contenuto integrale delle email e degli allegati.</w:t>
      </w:r>
      <w:r>
        <w:t xml:space="preserve"> </w:t>
      </w:r>
      <w:r>
        <w:t xml:space="preserve">I messaggi restano presso il provider di posta originario (Google, Microsoft, gestore PEC accreditato AgID). Il modello tecnico-architetturale è denominato “</w:t>
      </w:r>
      <w:r>
        <w:rPr>
          <w:b/>
          <w:bCs/>
        </w:rPr>
        <w:t xml:space="preserve">No-Storage</w:t>
      </w:r>
      <w:r>
        <w:t xml:space="preserve">” e descritto nella sezione 5.</w:t>
      </w:r>
    </w:p>
    <w:p>
      <w:r>
        <w:pict>
          <v:rect style="width:0;height:1.5pt" o:hralign="center" o:hrstd="t" o:hr="t"/>
        </w:pict>
      </w:r>
    </w:p>
    <w:bookmarkEnd w:id="20"/>
    <w:bookmarkStart w:id="25" w:name="quali-dati-trattiamo"/>
    <w:p>
      <w:pPr>
        <w:pStyle w:val="Heading2"/>
      </w:pPr>
      <w:r>
        <w:t xml:space="preserve">3. Quali dati trattiamo</w:t>
      </w:r>
    </w:p>
    <w:bookmarkStart w:id="21" w:name="dati-forniti-dallutente"/>
    <w:p>
      <w:pPr>
        <w:pStyle w:val="Heading3"/>
      </w:pPr>
      <w:r>
        <w:t xml:space="preserve">3.1 Dati forniti dall’Utente</w:t>
      </w:r>
    </w:p>
    <w:tbl>
      <w:tblPr>
        <w:tblStyle w:val="Table"/>
        <w:tblW w:type="pct" w:w="4240"/>
        <w:tblLayout w:type="fixed"/>
        <w:tblLook w:firstRow="1" w:lastRow="0" w:firstColumn="0" w:lastColumn="0" w:noHBand="0" w:noVBand="0" w:val="0020"/>
      </w:tblPr>
      <w:tblGrid>
        <w:gridCol w:w="2238"/>
        <w:gridCol w:w="2238"/>
        <w:gridCol w:w="22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Categoria</w:t>
            </w:r>
          </w:p>
        </w:tc>
        <w:tc>
          <w:tcPr/>
          <w:p>
            <w:pPr>
              <w:pStyle w:val="Compact"/>
            </w:pPr>
            <w:r>
              <w:t xml:space="preserve">Esempi</w:t>
            </w:r>
          </w:p>
        </w:tc>
        <w:tc>
          <w:tcPr/>
          <w:p>
            <w:pPr>
              <w:pStyle w:val="Compact"/>
            </w:pPr>
            <w:r>
              <w:t xml:space="preserve">Modalità di raccolta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Dati identificativi</w:t>
            </w:r>
          </w:p>
        </w:tc>
        <w:tc>
          <w:tcPr/>
          <w:p>
            <w:pPr>
              <w:pStyle w:val="Compact"/>
            </w:pPr>
            <w:r>
              <w:t xml:space="preserve">Nome, cognome, indirizzo email</w:t>
            </w:r>
          </w:p>
        </w:tc>
        <w:tc>
          <w:tcPr/>
          <w:p>
            <w:pPr>
              <w:pStyle w:val="Compact"/>
            </w:pPr>
            <w:r>
              <w:t xml:space="preserve">Registrazione e SSO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Credenziali di autenticazione</w:t>
            </w:r>
          </w:p>
        </w:tc>
        <w:tc>
          <w:tcPr/>
          <w:p>
            <w:pPr>
              <w:pStyle w:val="Compact"/>
            </w:pPr>
            <w:r>
              <w:t xml:space="preserve">Password (per IMAP/PEC)</w:t>
            </w:r>
          </w:p>
        </w:tc>
        <w:tc>
          <w:tcPr/>
          <w:p>
            <w:pPr>
              <w:pStyle w:val="Compact"/>
            </w:pPr>
            <w:r>
              <w:t xml:space="preserve">Inserimento in form cifrato TLS, conservate cifrate AES-256-GCM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Preferenze</w:t>
            </w:r>
          </w:p>
        </w:tc>
        <w:tc>
          <w:tcPr/>
          <w:p>
            <w:pPr>
              <w:pStyle w:val="Compact"/>
            </w:pPr>
            <w:r>
              <w:t xml:space="preserve">Cassetti personalizzati, soglie di alert</w:t>
            </w:r>
          </w:p>
        </w:tc>
        <w:tc>
          <w:tcPr/>
          <w:p>
            <w:pPr>
              <w:pStyle w:val="Compact"/>
            </w:pPr>
            <w:r>
              <w:t xml:space="preserve">UI dell’applicazione</w:t>
            </w:r>
          </w:p>
        </w:tc>
      </w:tr>
    </w:tbl>
    <w:bookmarkEnd w:id="21"/>
    <w:bookmarkStart w:id="22" w:name="X388ab7ff7845188333dd164b5fa573e1abe067d"/>
    <w:p>
      <w:pPr>
        <w:pStyle w:val="Heading3"/>
      </w:pPr>
      <w:r>
        <w:t xml:space="preserve">3.2 Dati raccolti tramite l’integrazione con provider di posta autorizzati dall’Utente</w:t>
      </w:r>
    </w:p>
    <w:p>
      <w:pPr>
        <w:pStyle w:val="FirstParagraph"/>
      </w:pPr>
      <w:r>
        <w:t xml:space="preserve">A-ESP richiede l’autorizzazione esplicita dell’utente (OAuth 2.0 per Gmail/Outlook, credenziali IMAP per Libero/Aruba/altri, credenziali PEC per Aruba PEC/Legalmail/PosteCert ecc.) per accedere in</w:t>
      </w:r>
      <w:r>
        <w:t xml:space="preserve"> </w:t>
      </w:r>
      <w:r>
        <w:rPr>
          <w:b/>
          <w:bCs/>
        </w:rPr>
        <w:t xml:space="preserve">sola lettura</w:t>
      </w:r>
      <w:r>
        <w:t xml:space="preserve"> </w:t>
      </w:r>
      <w:r>
        <w:t xml:space="preserve">alle caselle. Da queste caselle, l’AI di A-ESP estrae e indicizza:</w:t>
      </w:r>
    </w:p>
    <w:tbl>
      <w:tblPr>
        <w:tblStyle w:val="Table"/>
        <w:tblW w:type="pct" w:w="4235"/>
        <w:tblLayout w:type="fixed"/>
        <w:tblLook w:firstRow="1" w:lastRow="0" w:firstColumn="0" w:lastColumn="0" w:noHBand="0" w:noVBand="0" w:val="0020"/>
      </w:tblPr>
      <w:tblGrid>
        <w:gridCol w:w="3354"/>
        <w:gridCol w:w="335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Categoria di metadato</w:t>
            </w:r>
          </w:p>
        </w:tc>
        <w:tc>
          <w:tcPr/>
          <w:p>
            <w:pPr>
              <w:pStyle w:val="Compact"/>
            </w:pPr>
            <w:r>
              <w:t xml:space="preserve">Esempi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Identificativi del messaggio</w:t>
            </w:r>
          </w:p>
        </w:tc>
        <w:tc>
          <w:tcPr/>
          <w:p>
            <w:pPr>
              <w:pStyle w:val="Compact"/>
            </w:pPr>
            <w:r>
              <w:t xml:space="preserve">Message-ID, data ricezione, dominio mittente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Classificazione AI</w:t>
            </w:r>
          </w:p>
        </w:tc>
        <w:tc>
          <w:tcPr/>
          <w:p>
            <w:pPr>
              <w:pStyle w:val="Compact"/>
            </w:pPr>
            <w:r>
              <w:t xml:space="preserve">Categoria (C01-C14), tipo documento, urgenza, livello di rischio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Dati economici</w:t>
            </w:r>
          </w:p>
        </w:tc>
        <w:tc>
          <w:tcPr/>
          <w:p>
            <w:pPr>
              <w:pStyle w:val="Compact"/>
            </w:pPr>
            <w:r>
              <w:t>Importi (pieno + eventuale scontato), valuta, scadenza dello sconto temporale, IBAN per pagamento, codici tributo F24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 legali</w:t>
            </w:r>
          </w:p>
        </w:tc>
        <w:tc>
          <w:tcPr/>
          <w:p>
            <w:pPr>
              <w:pStyle w:val="Compact"/>
            </w:pPr>
            <w:r>
              <w:t xml:space="preserve">Scadenza pagamento, termine di ricorso, data notifica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Identificativi documenti</w:t>
            </w:r>
          </w:p>
        </w:tc>
        <w:tc>
          <w:tcPr/>
          <w:p>
            <w:pPr>
              <w:pStyle w:val="Compact"/>
            </w:pPr>
            <w:r>
              <w:t xml:space="preserve">Numero protocollo, numero fattura, codice avviso PagoPA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Dati delle parti</w:t>
            </w:r>
          </w:p>
        </w:tc>
        <w:tc>
          <w:tcPr/>
          <w:p>
            <w:pPr>
              <w:pStyle w:val="Compact"/>
            </w:pPr>
            <w:r>
              <w:t xml:space="preserve">Codice fiscale, P.IVA, nominativi parti coinvolte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 le PEC</w:t>
            </w:r>
          </w:p>
        </w:tc>
        <w:tc>
          <w:tcPr/>
          <w:p>
            <w:pPr>
              <w:pStyle w:val="Compact"/>
            </w:pPr>
            <w:r>
              <w:t xml:space="preserve">Gestore mittente, timestamp legale, tipo ricevuta (accettazione, consegna, errore)</w:t>
            </w:r>
          </w:p>
        </w:tc>
      </w:tr>
    </w:tbl>
    <w:p>
      <w:pPr>
        <w:pStyle w:val="BodyText"/>
      </w:pPr>
      <w:r>
        <w:rPr>
          <w:b/>
          <w:bCs/>
        </w:rPr>
        <w:t xml:space="preserve">Nessun corpo del messaggio, nessun allegato in formato originale e nessun testo integrale viene persistito.</w:t>
      </w:r>
      <w:r>
        <w:t xml:space="preserve"> </w:t>
      </w:r>
      <w:r>
        <w:t xml:space="preserve">I metadati di cui sopra vivono in formato strutturato (JSON e colonne dedicate) nel database A-ESP.</w:t>
      </w:r>
    </w:p>
    <w:bookmarkEnd w:id="22"/>
    <w:bookmarkStart w:id="23" w:name="dati-di-funzionamento-del-servizio"/>
    <w:p>
      <w:pPr>
        <w:pStyle w:val="Heading3"/>
      </w:pPr>
      <w:r>
        <w:t xml:space="preserve">3.3 Dati di funzionamento del servizio</w:t>
      </w:r>
    </w:p>
    <w:tbl>
      <w:tblPr>
        <w:tblStyle w:val="Table"/>
        <w:tblW w:type="pct" w:w="4240"/>
        <w:tblLayout w:type="fixed"/>
        <w:tblLook w:firstRow="1" w:lastRow="0" w:firstColumn="0" w:lastColumn="0" w:noHBand="0" w:noVBand="0" w:val="0020"/>
      </w:tblPr>
      <w:tblGrid>
        <w:gridCol w:w="2238"/>
        <w:gridCol w:w="2238"/>
        <w:gridCol w:w="22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Categoria</w:t>
            </w:r>
          </w:p>
        </w:tc>
        <w:tc>
          <w:tcPr/>
          <w:p>
            <w:pPr>
              <w:pStyle w:val="Compact"/>
            </w:pPr>
            <w:r>
              <w:t xml:space="preserve">Esempi</w:t>
            </w:r>
          </w:p>
        </w:tc>
        <w:tc>
          <w:tcPr/>
          <w:p>
            <w:pPr>
              <w:pStyle w:val="Compact"/>
            </w:pPr>
            <w:r>
              <w:t xml:space="preserve">Finalità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 applicativi</w:t>
            </w:r>
          </w:p>
        </w:tc>
        <w:tc>
          <w:tcPr/>
          <w:p>
            <w:pPr>
              <w:pStyle w:val="Compact"/>
            </w:pPr>
            <w:r>
              <w:t xml:space="preserve">Timestamp accessi, user ID, endpoint chiamato, latenza</w:t>
            </w:r>
          </w:p>
        </w:tc>
        <w:tc>
          <w:tcPr/>
          <w:p>
            <w:pPr>
              <w:pStyle w:val="Compact"/>
            </w:pPr>
            <w:r>
              <w:t xml:space="preserve">Sicurezza, audit, debug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 delle chiamate AI</w:t>
            </w:r>
          </w:p>
        </w:tc>
        <w:tc>
          <w:tcPr/>
          <w:p>
            <w:pPr>
              <w:pStyle w:val="Compact"/>
            </w:pPr>
            <w:r>
              <w:t xml:space="preserve">Modello, token usati, tempo di risposta, categoria risultato</w:t>
            </w:r>
          </w:p>
        </w:tc>
        <w:tc>
          <w:tcPr/>
          <w:p>
            <w:pPr>
              <w:pStyle w:val="Compact"/>
            </w:pPr>
            <w:r>
              <w:t xml:space="preserve">Trasparenza costi + audit (NB:</w:t>
            </w:r>
            <w:r>
              <w:t xml:space="preserve"> </w:t>
            </w:r>
            <w:r>
              <w:rPr>
                <w:b/>
                <w:bCs/>
              </w:rPr>
              <w:t xml:space="preserve">non conserviamo prompt né risposte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Embedding semantici</w:t>
            </w:r>
          </w:p>
        </w:tc>
        <w:tc>
          <w:tcPr/>
          <w:p>
            <w:pPr>
              <w:pStyle w:val="Compact"/>
            </w:pPr>
            <w:r>
              <w:t xml:space="preserve">Vettore numerico (1536 dimensioni) per ricerca semantica</w:t>
            </w:r>
          </w:p>
        </w:tc>
        <w:tc>
          <w:tcPr/>
          <w:p>
            <w:pPr>
              <w:pStyle w:val="Compact"/>
            </w:pPr>
            <w:r>
              <w:t xml:space="preserve">RAG / Segretario AI</w:t>
            </w:r>
          </w:p>
        </w:tc>
      </w:tr>
    </w:tbl>
    <w:bookmarkEnd w:id="23"/>
    <w:bookmarkStart w:id="24" w:name="X821e9b1fc8a257e4570f509a8cbf2bf3a67249f"/>
    <w:p>
      <w:pPr>
        <w:pStyle w:val="Heading3"/>
      </w:pPr>
      <w:r>
        <w:t xml:space="preserve">3.4 Categorie particolari di dati (Art. 9 GDPR)</w:t>
      </w:r>
    </w:p>
    <w:p>
      <w:pPr>
        <w:pStyle w:val="FirstParagraph"/>
      </w:pPr>
      <w:r>
        <w:t xml:space="preserve">Le email dell’utente possono contenere</w:t>
      </w:r>
      <w:r>
        <w:t xml:space="preserve"> </w:t>
      </w:r>
      <w:r>
        <w:rPr>
          <w:b/>
          <w:bCs/>
        </w:rPr>
        <w:t xml:space="preserve">incidentalmente</w:t>
      </w:r>
      <w:r>
        <w:t xml:space="preserve"> </w:t>
      </w:r>
      <w:r>
        <w:t xml:space="preserve">dati di categoria particolare (sanitari, religiosi, opinioni politiche). A-ESP</w:t>
      </w:r>
      <w:r>
        <w:t xml:space="preserve"> </w:t>
      </w:r>
      <w:r>
        <w:rPr>
          <w:b/>
          <w:bCs/>
        </w:rPr>
        <w:t xml:space="preserve">non sollecita</w:t>
      </w:r>
      <w:r>
        <w:t xml:space="preserve"> </w:t>
      </w:r>
      <w:r>
        <w:t xml:space="preserve">tali dati e applica:</w:t>
      </w:r>
    </w:p>
    <w:p>
      <w:pPr>
        <w:pStyle w:val="Compact"/>
        <w:numPr>
          <w:ilvl w:val="0"/>
          <w:numId w:val="1002"/>
        </w:numPr>
      </w:pPr>
      <w:r>
        <w:t xml:space="preserve">Estrazione AI con minimizzazione (l’output strutturato è composto da campi predefiniti che non includono categorie sensibili);</w:t>
      </w:r>
    </w:p>
    <w:p>
      <w:pPr>
        <w:pStyle w:val="Compact"/>
        <w:numPr>
          <w:ilvl w:val="0"/>
          <w:numId w:val="1002"/>
        </w:numPr>
      </w:pPr>
      <w:r>
        <w:t xml:space="preserve">Cifratura at-rest dei metadati;</w:t>
      </w:r>
    </w:p>
    <w:p>
      <w:pPr>
        <w:pStyle w:val="Compact"/>
        <w:numPr>
          <w:ilvl w:val="0"/>
          <w:numId w:val="1002"/>
        </w:numPr>
      </w:pPr>
      <w:r>
        <w:t xml:space="preserve">Trattamento basato sul</w:t>
      </w:r>
      <w:r>
        <w:t xml:space="preserve"> </w:t>
      </w:r>
      <w:r>
        <w:rPr>
          <w:b/>
          <w:bCs/>
        </w:rPr>
        <w:t xml:space="preserve">consenso esplicito</w:t>
      </w:r>
      <w:r>
        <w:t xml:space="preserve"> </w:t>
      </w:r>
      <w:r>
        <w:t xml:space="preserve">prestato all’attivazione del servizio (Art. 9.2.a GDPR).</w:t>
      </w:r>
    </w:p>
    <w:p>
      <w:pPr>
        <w:pStyle w:val="FirstParagraph"/>
      </w:pPr>
      <w:r>
        <w:t xml:space="preserve">[DECISIONE: implementare un flag “category=SENSITIVE” che spegne il pipeline AI sulle email che il pre-classificatore identifica come potenzialmente sensibili? Da valutare con DPO.]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X2ebb3e2d1497bfeb3179701ede92d58764714e6"/>
    <w:p>
      <w:pPr>
        <w:pStyle w:val="Heading2"/>
      </w:pPr>
      <w:r>
        <w:t xml:space="preserve">4. Finalità del trattamento e base giuridica</w:t>
      </w:r>
    </w:p>
    <w:tbl>
      <w:tblPr>
        <w:tblStyle w:val="Table"/>
        <w:tblW w:type="pct" w:w="4244"/>
        <w:tblLayout w:type="fixed"/>
        <w:tblLook w:firstRow="1" w:lastRow="0" w:firstColumn="0" w:lastColumn="0" w:noHBand="0" w:noVBand="0" w:val="0020"/>
      </w:tblPr>
      <w:tblGrid>
        <w:gridCol w:w="1680"/>
        <w:gridCol w:w="1680"/>
        <w:gridCol w:w="1680"/>
        <w:gridCol w:w="16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Finalità</w:t>
            </w:r>
          </w:p>
        </w:tc>
        <w:tc>
          <w:tcPr/>
          <w:p>
            <w:pPr>
              <w:pStyle w:val="Compact"/>
            </w:pPr>
            <w:r>
              <w:t xml:space="preserve">Base giuridica (Art. 6 GDPR)</w:t>
            </w:r>
          </w:p>
        </w:tc>
        <w:tc>
          <w:tcPr/>
          <w:p>
            <w:pPr>
              <w:pStyle w:val="Compact"/>
            </w:pPr>
            <w:r>
              <w:t xml:space="preserve">Conservazione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Erogazione del Servizio (sync, estrazione AI, notifiche)</w:t>
            </w:r>
          </w:p>
        </w:tc>
        <w:tc>
          <w:tcPr/>
          <w:p>
            <w:pPr>
              <w:pStyle w:val="Compact"/>
            </w:pPr>
            <w:r>
              <w:t xml:space="preserve">Esecuzione del contratto (Art. 6.1.b)</w:t>
            </w:r>
          </w:p>
        </w:tc>
        <w:tc>
          <w:tcPr/>
          <w:p>
            <w:pPr>
              <w:pStyle w:val="Compact"/>
            </w:pPr>
            <w:r>
              <w:t xml:space="preserve">Durata del rapporto contrattuale + 30 giorni post-cessazione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Sicurezza dell’infrastruttura, prevenzione frodi e abusi</w:t>
            </w:r>
          </w:p>
        </w:tc>
        <w:tc>
          <w:tcPr/>
          <w:p>
            <w:pPr>
              <w:pStyle w:val="Compact"/>
            </w:pPr>
            <w:r>
              <w:t xml:space="preserve">Legittimo interesse (Art. 6.1.f)</w:t>
            </w:r>
          </w:p>
        </w:tc>
        <w:tc>
          <w:tcPr/>
          <w:p>
            <w:pPr>
              <w:pStyle w:val="Compact"/>
            </w:pPr>
            <w:r>
              <w:t xml:space="preserve">12 mesi dai 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Adempimenti fiscali (fatturazione del servizio)</w:t>
            </w:r>
          </w:p>
        </w:tc>
        <w:tc>
          <w:tcPr/>
          <w:p>
            <w:pPr>
              <w:pStyle w:val="Compact"/>
            </w:pPr>
            <w:r>
              <w:t xml:space="preserve">Obbligo legale (Art. 6.1.c)</w:t>
            </w:r>
          </w:p>
        </w:tc>
        <w:tc>
          <w:tcPr/>
          <w:p>
            <w:pPr>
              <w:pStyle w:val="Compact"/>
            </w:pPr>
            <w:r>
              <w:t xml:space="preserve">10 anni (art. 2220 c.c.)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Marketing diretto sui servizi di A-ESP</w:t>
            </w:r>
          </w:p>
        </w:tc>
        <w:tc>
          <w:tcPr/>
          <w:p>
            <w:pPr>
              <w:pStyle w:val="Compact"/>
            </w:pPr>
            <w:r>
              <w:t xml:space="preserve">Consenso (Art. 6.1.a) — revocabile</w:t>
            </w:r>
          </w:p>
        </w:tc>
        <w:tc>
          <w:tcPr/>
          <w:p>
            <w:pPr>
              <w:pStyle w:val="Compact"/>
            </w:pPr>
            <w:r>
              <w:t xml:space="preserve">Fino a revoca o 24 mesi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Comunicazioni di servizio (avvisi tecnici, modifiche TOS)</w:t>
            </w:r>
          </w:p>
        </w:tc>
        <w:tc>
          <w:tcPr/>
          <w:p>
            <w:pPr>
              <w:pStyle w:val="Compact"/>
            </w:pPr>
            <w:r>
              <w:t xml:space="preserve">Esecuzione del contratto (Art. 6.1.b)</w:t>
            </w:r>
          </w:p>
        </w:tc>
        <w:tc>
          <w:tcPr/>
          <w:p>
            <w:pPr>
              <w:pStyle w:val="Compact"/>
            </w:pPr>
            <w:r>
              <w:t xml:space="preserve">Durata del rapporto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Analisi statistica aggregata e anonima per miglioramento del prodotto</w:t>
            </w:r>
          </w:p>
        </w:tc>
        <w:tc>
          <w:tcPr/>
          <w:p>
            <w:pPr>
              <w:pStyle w:val="Compact"/>
            </w:pPr>
            <w:r>
              <w:t xml:space="preserve">Legittimo interesse (Art. 6.1.f)</w:t>
            </w:r>
          </w:p>
        </w:tc>
        <w:tc>
          <w:tcPr/>
          <w:p>
            <w:pPr>
              <w:pStyle w:val="Compact"/>
            </w:pPr>
            <w:r>
              <w:t xml:space="preserve">Dati anonimi senza scadenza</w:t>
            </w:r>
          </w:p>
        </w:tc>
      </w:tr>
    </w:tbl>
    <w:p>
      <w:pPr>
        <w:pStyle w:val="BodyText"/>
      </w:pPr>
      <w:r>
        <w:rPr>
          <w:b/>
          <w:bCs/>
        </w:rPr>
        <w:t xml:space="preserve">A-ESP NON utilizza i dati dell’Utente per addestrare modelli di intelligenza artificiale propri o di terzi.</w:t>
      </w:r>
      <w:r>
        <w:t xml:space="preserve"> </w:t>
      </w:r>
      <w:r>
        <w:t xml:space="preserve">Si veda la sezione 6 sui fornitori AI.</w:t>
      </w:r>
    </w:p>
    <w:p>
      <w:r>
        <w:pict>
          <v:rect style="width:0;height:1.5pt" o:hralign="center" o:hrstd="t" o:hr="t"/>
        </w:pict>
      </w:r>
    </w:p>
    <w:bookmarkEnd w:id="26"/>
    <w:bookmarkStart w:id="27" w:name="il-modello-no-storage"/>
    <w:p>
      <w:pPr>
        <w:pStyle w:val="Heading2"/>
      </w:pPr>
      <w:r>
        <w:t xml:space="preserve">5. Il modello “No-Storage”</w:t>
      </w:r>
    </w:p>
    <w:p>
      <w:pPr>
        <w:pStyle w:val="FirstParagraph"/>
      </w:pPr>
      <w:r>
        <w:t xml:space="preserve">Una scelta architetturale specifica di A-ESP è il</w:t>
      </w:r>
      <w:r>
        <w:t xml:space="preserve"> </w:t>
      </w:r>
      <w:r>
        <w:rPr>
          <w:b/>
          <w:bCs/>
        </w:rPr>
        <w:t xml:space="preserve">modello No-Storage</w:t>
      </w:r>
      <w:r>
        <w:t xml:space="preserve">: il contenuto integrale dei messaggi email e PEC NON viene mai scaricato, conservato o duplicato sui server di A-ESP. In dettaglio:</w:t>
      </w:r>
    </w:p>
    <w:p>
      <w:pPr>
        <w:pStyle w:val="Compact"/>
        <w:numPr>
          <w:ilvl w:val="0"/>
          <w:numId w:val="1003"/>
        </w:numPr>
      </w:pPr>
      <w:r>
        <w:t xml:space="preserve">Il</w:t>
      </w:r>
      <w:r>
        <w:t xml:space="preserve"> </w:t>
      </w:r>
      <w:r>
        <w:rPr>
          <w:b/>
          <w:bCs/>
        </w:rPr>
        <w:t xml:space="preserve">corpo del messaggio</w:t>
      </w:r>
      <w:r>
        <w:t xml:space="preserve"> </w:t>
      </w:r>
      <w:r>
        <w:t xml:space="preserve">e gli</w:t>
      </w:r>
      <w:r>
        <w:t xml:space="preserve"> </w:t>
      </w:r>
      <w:r>
        <w:rPr>
          <w:b/>
          <w:bCs/>
        </w:rPr>
        <w:t xml:space="preserve">allegati</w:t>
      </w:r>
      <w:r>
        <w:t xml:space="preserve"> </w:t>
      </w:r>
      <w:r>
        <w:t xml:space="preserve">restano presso il provider di posta originario (Gmail, Outlook, gestore PEC). Quando l’Utente apre un documento nella UI di A-ESP, il contenuto viene recuperato</w:t>
      </w:r>
      <w:r>
        <w:t xml:space="preserve"> </w:t>
      </w:r>
      <w:r>
        <w:rPr>
          <w:b/>
          <w:bCs/>
        </w:rPr>
        <w:t xml:space="preserve">on-demand</w:t>
      </w:r>
      <w:r>
        <w:t xml:space="preserve"> </w:t>
      </w:r>
      <w:r>
        <w:t xml:space="preserve">dal provider, mostrato all’Utente, e</w:t>
      </w:r>
      <w:r>
        <w:t xml:space="preserve"> </w:t>
      </w:r>
      <w:r>
        <w:rPr>
          <w:b/>
          <w:bCs/>
        </w:rPr>
        <w:t xml:space="preserve">scartato</w:t>
      </w:r>
      <w:r>
        <w:t xml:space="preserve"> </w:t>
      </w:r>
      <w:r>
        <w:t xml:space="preserve">alla chiusura della sessione.</w:t>
      </w:r>
    </w:p>
    <w:p>
      <w:pPr>
        <w:pStyle w:val="Compact"/>
        <w:numPr>
          <w:ilvl w:val="0"/>
          <w:numId w:val="1003"/>
        </w:numPr>
      </w:pPr>
      <w:r>
        <w:t xml:space="preserve">I</w:t>
      </w:r>
      <w:r>
        <w:t xml:space="preserve"> </w:t>
      </w:r>
      <w:r>
        <w:rPr>
          <w:b/>
          <w:bCs/>
        </w:rPr>
        <w:t xml:space="preserve">metadati estratti</w:t>
      </w:r>
      <w:r>
        <w:t xml:space="preserve"> </w:t>
      </w:r>
      <w:r>
        <w:t xml:space="preserve">dall’AI (categoria, scadenze, importi, identificativi) sono gli unici elementi persistenti nel database A-ESP, cifrati at-rest.</w:t>
      </w:r>
    </w:p>
    <w:p>
      <w:pPr>
        <w:pStyle w:val="Compact"/>
        <w:numPr>
          <w:ilvl w:val="0"/>
          <w:numId w:val="1003"/>
        </w:numPr>
      </w:pPr>
      <w:r>
        <w:t xml:space="preserve">Le</w:t>
      </w:r>
      <w:r>
        <w:t xml:space="preserve"> </w:t>
      </w:r>
      <w:r>
        <w:rPr>
          <w:b/>
          <w:bCs/>
        </w:rPr>
        <w:t xml:space="preserve">credenziali OAuth e password IMAP/PEC</w:t>
      </w:r>
      <w:r>
        <w:t xml:space="preserve"> </w:t>
      </w:r>
      <w:r>
        <w:t xml:space="preserve">sono cifrate con AES-256-GCM mediante envelope encryption (chiave master di cifratura — KEK — separata dalle chiavi di cifratura dei dati — DEK).</w:t>
      </w:r>
    </w:p>
    <w:p>
      <w:pPr>
        <w:pStyle w:val="FirstParagraph"/>
      </w:pPr>
      <w:r>
        <w:t xml:space="preserve">Conseguenze giuridiche di questa scelta: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Esposizione minima a data breach</w:t>
      </w:r>
      <w:r>
        <w:t xml:space="preserve">: anche un’eventuale violazione del database A-ESP non comporterebbe la diffusione del contenuto delle email.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Conformità rinforzata col principio di minimizzazione</w:t>
      </w:r>
      <w:r>
        <w:t xml:space="preserve"> </w:t>
      </w:r>
      <w:r>
        <w:t xml:space="preserve">(Art. 5.1.c GDPR).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A-ESP NON è un conservatore a norma AgID</w:t>
      </w:r>
      <w:r>
        <w:t xml:space="preserve"> </w:t>
      </w:r>
      <w:r>
        <w:t xml:space="preserve">(CAD Art. 43). Le funzionalità di conservazione legale restano in capo al gestore PEC o ad altro conservatore accreditato.</w:t>
      </w:r>
    </w:p>
    <w:p>
      <w:r>
        <w:pict>
          <v:rect style="width:0;height:1.5pt" o:hralign="center" o:hrstd="t" o:hr="t"/>
        </w:pict>
      </w:r>
    </w:p>
    <w:bookmarkEnd w:id="27"/>
    <w:bookmarkStart w:id="29" w:name="Xd851b93ffd48645e8b65aecf64b4af42e139f9b"/>
    <w:p>
      <w:pPr>
        <w:pStyle w:val="Heading2"/>
      </w:pPr>
      <w:r>
        <w:t xml:space="preserve">6. A chi comunichiamo i dati (Responsabili e Sub-responsabili del trattamento)</w:t>
      </w:r>
    </w:p>
    <w:p>
      <w:pPr>
        <w:pStyle w:val="FirstParagraph"/>
      </w:pPr>
      <w:r>
        <w:t xml:space="preserve">Per erogare il servizio A-ESP si avvale di fornitori tecnologici, ciascuno nominato Responsabile del Trattamento ai sensi dell’Art. 28 GDPR. L’elenco aggiornato è disponibile in</w:t>
      </w:r>
      <w:r>
        <w:t xml:space="preserve"> </w:t>
      </w:r>
      <w:hyperlink r:id="rId28">
        <w:r>
          <w:rPr>
            <w:rStyle w:val="VerbatimChar"/>
          </w:rPr>
          <w:t xml:space="preserve">elenco-sub-processor.md</w:t>
        </w:r>
      </w:hyperlink>
      <w:r>
        <w:t xml:space="preserve">. Categorie principali:</w:t>
      </w:r>
    </w:p>
    <w:tbl>
      <w:tblPr>
        <w:tblStyle w:val="Table"/>
        <w:tblW w:type="pct" w:w="4244"/>
        <w:tblLayout w:type="fixed"/>
        <w:tblLook w:firstRow="1" w:lastRow="0" w:firstColumn="0" w:lastColumn="0" w:noHBand="0" w:noVBand="0" w:val="0020"/>
      </w:tblPr>
      <w:tblGrid>
        <w:gridCol w:w="1680"/>
        <w:gridCol w:w="1680"/>
        <w:gridCol w:w="1680"/>
        <w:gridCol w:w="16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Fornitore</w:t>
            </w:r>
          </w:p>
        </w:tc>
        <w:tc>
          <w:tcPr/>
          <w:p>
            <w:pPr>
              <w:pStyle w:val="Compact"/>
            </w:pPr>
            <w:r>
              <w:t xml:space="preserve">Ruolo</w:t>
            </w:r>
          </w:p>
        </w:tc>
        <w:tc>
          <w:tcPr/>
          <w:p>
            <w:pPr>
              <w:pStyle w:val="Compact"/>
            </w:pPr>
            <w:r>
              <w:t xml:space="preserve">Sede trattamento</w:t>
            </w:r>
          </w:p>
        </w:tc>
        <w:tc>
          <w:tcPr/>
          <w:p>
            <w:pPr>
              <w:pStyle w:val="Compact"/>
            </w:pPr>
            <w:r>
              <w:t xml:space="preserve">Dati condivisi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Anthropic, PBC</w:t>
            </w:r>
          </w:p>
        </w:tc>
        <w:tc>
          <w:tcPr/>
          <w:p>
            <w:pPr>
              <w:pStyle w:val="Compact"/>
            </w:pPr>
            <w:r>
              <w:t xml:space="preserve">Provider LLM (Claude) per estrazione AI dei metadati</w:t>
            </w:r>
          </w:p>
        </w:tc>
        <w:tc>
          <w:tcPr/>
          <w:p>
            <w:pPr>
              <w:pStyle w:val="Compact"/>
            </w:pPr>
            <w:r>
              <w:t xml:space="preserve">USA (con SCC UE + Data Privacy Framework) —</w:t>
            </w:r>
            <w:r>
              <w:t xml:space="preserve"> </w:t>
            </w:r>
            <w:r>
              <w:rPr>
                <w:b/>
                <w:bCs/>
              </w:rPr>
              <w:t xml:space="preserve">Zero Data Retention enterprise tier</w:t>
            </w:r>
          </w:p>
        </w:tc>
        <w:tc>
          <w:tcPr/>
          <w:p>
            <w:pPr>
              <w:pStyle w:val="Compact"/>
            </w:pPr>
            <w:r>
              <w:t xml:space="preserve">Testo email/allegati</w:t>
            </w:r>
            <w:r>
              <w:t xml:space="preserve"> </w:t>
            </w:r>
            <w:r>
              <w:rPr>
                <w:b/>
                <w:bCs/>
              </w:rPr>
              <w:t xml:space="preserve">transitorio</w:t>
            </w:r>
            <w:r>
              <w:t xml:space="preserve"> </w:t>
            </w:r>
            <w:r>
              <w:t xml:space="preserve">(scartato dopo la risposta), MAI usato per training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Google LLC</w:t>
            </w:r>
          </w:p>
        </w:tc>
        <w:tc>
          <w:tcPr/>
          <w:p>
            <w:pPr>
              <w:pStyle w:val="Compact"/>
            </w:pPr>
            <w:r>
              <w:t xml:space="preserve">Provider LLM (Gemini) per embedding semantici</w:t>
            </w:r>
          </w:p>
        </w:tc>
        <w:tc>
          <w:tcPr/>
          <w:p>
            <w:pPr>
              <w:pStyle w:val="Compact"/>
            </w:pPr>
            <w:r>
              <w:t xml:space="preserve">UE (Vertex AI europe-west1) ove possibile</w:t>
            </w:r>
          </w:p>
        </w:tc>
        <w:tc>
          <w:tcPr/>
          <w:p>
            <w:pPr>
              <w:pStyle w:val="Compact"/>
            </w:pPr>
            <w:r>
              <w:t xml:space="preserve">Testo per generazione embedding, NO training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OpenCode (Zen)</w:t>
            </w:r>
          </w:p>
        </w:tc>
        <w:tc>
          <w:tcPr/>
          <w:p>
            <w:pPr>
              <w:pStyle w:val="Compact"/>
            </w:pPr>
            <w:r>
              <w:t xml:space="preserve">Gateway provider (DeepSeek/Kimi) — alternativo</w:t>
            </w:r>
          </w:p>
        </w:tc>
        <w:tc>
          <w:tcPr/>
          <w:p>
            <w:pPr>
              <w:pStyle w:val="Compact"/>
            </w:pPr>
            <w:r>
              <w:t xml:space="preserve">Variabile per modello — verificare per ogni provider downstream</w:t>
            </w:r>
          </w:p>
        </w:tc>
        <w:tc>
          <w:tcPr/>
          <w:p>
            <w:pPr>
              <w:pStyle w:val="Compact"/>
            </w:pPr>
            <w:r>
              <w:t xml:space="preserve">Solo se attivato dall’admin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[Hosting provider]</w:t>
            </w:r>
          </w:p>
        </w:tc>
        <w:tc>
          <w:tcPr/>
          <w:p>
            <w:pPr>
              <w:pStyle w:val="Compact"/>
            </w:pPr>
            <w:r>
              <w:t xml:space="preserve">Hosting infrastruttura DB + applicazione</w:t>
            </w:r>
          </w:p>
        </w:tc>
        <w:tc>
          <w:tcPr/>
          <w:p>
            <w:pPr>
              <w:pStyle w:val="Compact"/>
            </w:pPr>
            <w:r>
              <w:t xml:space="preserve">UE (Cloud Run / AWS Frankfurt)</w:t>
            </w:r>
          </w:p>
        </w:tc>
        <w:tc>
          <w:tcPr/>
          <w:p>
            <w:pPr>
              <w:pStyle w:val="Compact"/>
            </w:pPr>
            <w:r>
              <w:t xml:space="preserve">Tutti i dati persistenti, cifrati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Google LLC</w:t>
            </w:r>
            <w:r>
              <w:t xml:space="preserve"> </w:t>
            </w:r>
            <w:r>
              <w:t xml:space="preserve">(OAuth)</w:t>
            </w:r>
          </w:p>
        </w:tc>
        <w:tc>
          <w:tcPr/>
          <w:p>
            <w:pPr>
              <w:pStyle w:val="Compact"/>
            </w:pPr>
            <w:r>
              <w:t xml:space="preserve">Identity provider per Gmail</w:t>
            </w:r>
          </w:p>
        </w:tc>
        <w:tc>
          <w:tcPr/>
          <w:p>
            <w:pPr>
              <w:pStyle w:val="Compact"/>
            </w:pPr>
            <w:r>
              <w:t xml:space="preserve">UE/USA — adeguatezza</w:t>
            </w:r>
          </w:p>
        </w:tc>
        <w:tc>
          <w:tcPr/>
          <w:p>
            <w:pPr>
              <w:pStyle w:val="Compact"/>
            </w:pPr>
            <w:r>
              <w:t xml:space="preserve">Solo tokens OAuth, mai contenuti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Microsoft Corp.</w:t>
            </w:r>
            <w:r>
              <w:t xml:space="preserve"> </w:t>
            </w:r>
            <w:r>
              <w:t xml:space="preserve">(OAuth)</w:t>
            </w:r>
          </w:p>
        </w:tc>
        <w:tc>
          <w:tcPr/>
          <w:p>
            <w:pPr>
              <w:pStyle w:val="Compact"/>
            </w:pPr>
            <w:r>
              <w:t xml:space="preserve">Identity provider per Outlook</w:t>
            </w:r>
          </w:p>
        </w:tc>
        <w:tc>
          <w:tcPr/>
          <w:p>
            <w:pPr>
              <w:pStyle w:val="Compact"/>
            </w:pPr>
            <w:r>
              <w:t xml:space="preserve">UE/USA — adeguatezza</w:t>
            </w:r>
          </w:p>
        </w:tc>
        <w:tc>
          <w:tcPr/>
          <w:p>
            <w:pPr>
              <w:pStyle w:val="Compact"/>
            </w:pPr>
            <w:r>
              <w:t xml:space="preserve">Solo tokens OAuth, mai contenuti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[Gestori PEC]</w:t>
            </w:r>
          </w:p>
        </w:tc>
        <w:tc>
          <w:tcPr/>
          <w:p>
            <w:pPr>
              <w:pStyle w:val="Compact"/>
            </w:pPr>
            <w:r>
              <w:t xml:space="preserve">Aruba PEC, Legalmail, PosteCert ecc. — accesso IMAPS read-only</w:t>
            </w:r>
          </w:p>
        </w:tc>
        <w:tc>
          <w:tcPr/>
          <w:p>
            <w:pPr>
              <w:pStyle w:val="Compact"/>
            </w:pPr>
            <w:r>
              <w:t xml:space="preserve">Italia</w:t>
            </w:r>
          </w:p>
        </w:tc>
        <w:tc>
          <w:tcPr/>
          <w:p>
            <w:pPr>
              <w:pStyle w:val="Compact"/>
            </w:pPr>
            <w:r>
              <w:t xml:space="preserve">Solo lettura tramite credenziali fornite dall’Utente</w:t>
            </w:r>
          </w:p>
        </w:tc>
      </w:tr>
    </w:tbl>
    <w:p>
      <w:pPr>
        <w:pStyle w:val="BodyText"/>
      </w:pPr>
      <w:r>
        <w:rPr>
          <w:b/>
          <w:bCs/>
        </w:rPr>
        <w:t xml:space="preserve">Garanzia ZDR (Zero Data Retention)</w:t>
      </w:r>
      <w:r>
        <w:t xml:space="preserve"> </w:t>
      </w:r>
      <w:r>
        <w:t xml:space="preserve">per gli LLM: tutti i prompt inviati e tutte le risposte ricevute vengono</w:t>
      </w:r>
      <w:r>
        <w:t xml:space="preserve"> </w:t>
      </w:r>
      <w:r>
        <w:rPr>
          <w:b/>
          <w:bCs/>
        </w:rPr>
        <w:t xml:space="preserve">scartati immediatamente</w:t>
      </w:r>
      <w:r>
        <w:t xml:space="preserve"> </w:t>
      </w:r>
      <w:r>
        <w:t xml:space="preserve">dal fornitore al termine della chiamata API. Nessun training, nessun fine-tuning, nessuna conservazione lato fornitore. Questa è una clausola contrattuale enterprise con Anthropic e attivata per Google Vertex.</w:t>
      </w:r>
    </w:p>
    <w:p>
      <w:r>
        <w:pict>
          <v:rect style="width:0;height:1.5pt" o:hralign="center" o:hrstd="t" o:hr="t"/>
        </w:pict>
      </w:r>
    </w:p>
    <w:bookmarkEnd w:id="29"/>
    <w:bookmarkStart w:id="30" w:name="trasferimenti-extra-ue"/>
    <w:p>
      <w:pPr>
        <w:pStyle w:val="Heading2"/>
      </w:pPr>
      <w:r>
        <w:t xml:space="preserve">7. Trasferimenti extra-UE</w:t>
      </w:r>
    </w:p>
    <w:p>
      <w:pPr>
        <w:pStyle w:val="FirstParagraph"/>
      </w:pPr>
      <w:r>
        <w:t xml:space="preserve">Alcuni Responsabili del Trattamento (in particolare Anthropic) hanno sede negli</w:t>
      </w:r>
      <w:r>
        <w:t xml:space="preserve"> </w:t>
      </w:r>
      <w:r>
        <w:rPr>
          <w:b/>
          <w:bCs/>
        </w:rPr>
        <w:t xml:space="preserve">Stati Uniti d’America</w:t>
      </w:r>
      <w:r>
        <w:t xml:space="preserve">. I trasferimenti sono coperti da: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Clausole Contrattuali Standard</w:t>
      </w:r>
      <w:r>
        <w:t xml:space="preserve"> </w:t>
      </w:r>
      <w:r>
        <w:t xml:space="preserve">(Decisione CE 2021/914) firmate con il fornitore;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Decisione di Adeguatezza UE-USA Data Privacy Framework</w:t>
      </w:r>
      <w:r>
        <w:t xml:space="preserve"> </w:t>
      </w:r>
      <w:r>
        <w:t xml:space="preserve">(laddove applicabile);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Misure supplementari</w:t>
      </w:r>
      <w:r>
        <w:t xml:space="preserve">: clausola ZDR enterprise + cifratura in transito TLS 1.3 + minimizzazione dei dati trasmessi.</w:t>
      </w:r>
    </w:p>
    <w:p>
      <w:pPr>
        <w:pStyle w:val="FirstParagraph"/>
      </w:pPr>
      <w:r>
        <w:t xml:space="preserve">[DECISIONE: integrare con consulente per ogni fornitore: lista clausole specifiche accettate, eventuali TIA (Transfer Impact Assessment) richiesti.]</w:t>
      </w:r>
    </w:p>
    <w:p>
      <w:r>
        <w:pict>
          <v:rect style="width:0;height:1.5pt" o:hralign="center" o:hrstd="t" o:hr="t"/>
        </w:pict>
      </w:r>
    </w:p>
    <w:bookmarkEnd w:id="30"/>
    <w:bookmarkStart w:id="31" w:name="periodo-di-conservazione"/>
    <w:p>
      <w:pPr>
        <w:pStyle w:val="Heading2"/>
      </w:pPr>
      <w:r>
        <w:t xml:space="preserve">8. Periodo di conservazione</w:t>
      </w:r>
    </w:p>
    <w:p>
      <w:pPr>
        <w:pStyle w:val="FirstParagraph"/>
      </w:pPr>
      <w:r>
        <w:t xml:space="preserve">I dati personali sono conservati per i tempi indicati alla sezione 4. Al termine:</w:t>
      </w:r>
    </w:p>
    <w:p>
      <w:pPr>
        <w:pStyle w:val="Compact"/>
        <w:numPr>
          <w:ilvl w:val="0"/>
          <w:numId w:val="1006"/>
        </w:numPr>
      </w:pPr>
      <w:r>
        <w:t xml:space="preserve">I dati personali identificativi sono</w:t>
      </w:r>
      <w:r>
        <w:t xml:space="preserve"> </w:t>
      </w:r>
      <w:r>
        <w:rPr>
          <w:b/>
          <w:bCs/>
        </w:rPr>
        <w:t xml:space="preserve">cancellati o anonimizzati</w:t>
      </w:r>
      <w:r>
        <w:t xml:space="preserve">;</w:t>
      </w:r>
    </w:p>
    <w:p>
      <w:pPr>
        <w:pStyle w:val="Compact"/>
        <w:numPr>
          <w:ilvl w:val="0"/>
          <w:numId w:val="1006"/>
        </w:numPr>
      </w:pPr>
      <w:r>
        <w:t xml:space="preserve">I log applicativi e di sicurezza sono mantenuti per il termine di legge e poi cancellati;</w:t>
      </w:r>
    </w:p>
    <w:p>
      <w:pPr>
        <w:pStyle w:val="Compact"/>
        <w:numPr>
          <w:ilvl w:val="0"/>
          <w:numId w:val="1006"/>
        </w:numPr>
      </w:pPr>
      <w:r>
        <w:t xml:space="preserve">L’Utente può richiedere in qualsiasi momento la</w:t>
      </w:r>
      <w:r>
        <w:t xml:space="preserve"> </w:t>
      </w:r>
      <w:r>
        <w:rPr>
          <w:b/>
          <w:bCs/>
        </w:rPr>
        <w:t xml:space="preserve">cancellazione anticipata</w:t>
      </w:r>
      <w:r>
        <w:t xml:space="preserve"> </w:t>
      </w:r>
      <w:r>
        <w:t xml:space="preserve">(vedi sezione 10) salvo obblighi di legge.</w:t>
      </w:r>
    </w:p>
    <w:p>
      <w:pPr>
        <w:pStyle w:val="FirstParagraph"/>
      </w:pPr>
      <w:r>
        <w:t xml:space="preserve">Cancellazione dell’account: alla chiusura dell’account, tutti i dati relativi all’Utente vengono cancellati entro</w:t>
      </w:r>
      <w:r>
        <w:t xml:space="preserve"> </w:t>
      </w:r>
      <w:r>
        <w:rPr>
          <w:b/>
          <w:bCs/>
        </w:rPr>
        <w:t xml:space="preserve">30 giorni</w:t>
      </w:r>
      <w:r>
        <w:t xml:space="preserve">, con cascade delete su documenti, scadenze, allegati e credenziali. I backup contenenti dati cancellati sono purgati al successivo ciclo di rotazione (massimo 90 giorni).</w:t>
      </w:r>
    </w:p>
    <w:p>
      <w:r>
        <w:pict>
          <v:rect style="width:0;height:1.5pt" o:hralign="center" o:hrstd="t" o:hr="t"/>
        </w:pict>
      </w:r>
    </w:p>
    <w:bookmarkEnd w:id="31"/>
    <w:bookmarkStart w:id="32" w:name="X6c04900f8f983fddbd2453f1afe0893f29c1edd"/>
    <w:p>
      <w:pPr>
        <w:pStyle w:val="Heading2"/>
      </w:pPr>
      <w:r>
        <w:t xml:space="preserve">9. Modalità di trattamento e misure di sicurezza</w:t>
      </w:r>
    </w:p>
    <w:p>
      <w:pPr>
        <w:pStyle w:val="FirstParagraph"/>
      </w:pPr>
      <w:r>
        <w:t xml:space="preserve">Il trattamento avviene con strumenti elettronici, secondo logiche strettamente correlate alle finalità indicate. Le misure di sicurezza adottate includono: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Cifratura at-rest</w:t>
      </w:r>
      <w:r>
        <w:t xml:space="preserve">: dati persistenti (DB PostgreSQL) cifrati a livello di campo per categorie sensibili (credenziali OAuth/IMAP, dati di pagamento, identificativi fiscali) con AES-256-GCM in envelope encryption;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Cifratura in transit</w:t>
      </w:r>
      <w:r>
        <w:t xml:space="preserve">: TLS 1.3 obbligatorio su tutte le comunicazioni client-server e server-fornitori;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Multi-tenancy isolation</w:t>
      </w:r>
      <w:r>
        <w:t xml:space="preserve">: PostgreSQL Row-Level Security garantisce isolamento dei dati tra utenti a livello di motore database (non solo applicativo);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Autenticazione</w:t>
      </w:r>
      <w:r>
        <w:t xml:space="preserve">: SSO via JWT validato lato server con JWKS endpoint del provider Identity;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Anti-SSRF e validazione input</w:t>
      </w:r>
      <w:r>
        <w:t xml:space="preserve">: tutte le connessioni IMAP/PEC verificate per evitare richieste verso indirizzi privati o riservati;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Logging audit</w:t>
      </w:r>
      <w:r>
        <w:t xml:space="preserve">: ogni accesso, modifica e cancellazione tracciato con timestamp, user ID, esito;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Backup</w:t>
      </w:r>
      <w:r>
        <w:t xml:space="preserve">: backup cifrati con rotazione automatica e cancellazione dopo il periodo di retention;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Vulnerability management</w:t>
      </w:r>
      <w:r>
        <w:t xml:space="preserve">: dipendenze software monitorate continuamente, patch di sicurezza applicate entro 7 giorni dalla disclosure (30 giorni per non-critical).</w:t>
      </w:r>
    </w:p>
    <w:p>
      <w:r>
        <w:pict>
          <v:rect style="width:0;height:1.5pt" o:hralign="center" o:hrstd="t" o:hr="t"/>
        </w:pict>
      </w:r>
    </w:p>
    <w:bookmarkEnd w:id="32"/>
    <w:bookmarkStart w:id="33" w:name="diritti-dellutente"/>
    <w:p>
      <w:pPr>
        <w:pStyle w:val="Heading2"/>
      </w:pPr>
      <w:r>
        <w:t xml:space="preserve">10. Diritti dell’Utente</w:t>
      </w:r>
    </w:p>
    <w:p>
      <w:pPr>
        <w:pStyle w:val="FirstParagraph"/>
      </w:pPr>
      <w:r>
        <w:t xml:space="preserve">L’Utente ha diritto, in qualsiasi momento, di esercitare i seguenti diritti (Artt. 15-22 GDPR):</w:t>
      </w:r>
    </w:p>
    <w:tbl>
      <w:tblPr>
        <w:tblStyle w:val="Table"/>
        <w:tblW w:type="pct" w:w="4235"/>
        <w:tblLayout w:type="fixed"/>
        <w:tblLook w:firstRow="1" w:lastRow="0" w:firstColumn="0" w:lastColumn="0" w:noHBand="0" w:noVBand="0" w:val="0020"/>
      </w:tblPr>
      <w:tblGrid>
        <w:gridCol w:w="3354"/>
        <w:gridCol w:w="335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Diritto</w:t>
            </w:r>
          </w:p>
        </w:tc>
        <w:tc>
          <w:tcPr/>
          <w:p>
            <w:pPr>
              <w:pStyle w:val="Compact"/>
            </w:pPr>
            <w:r>
              <w:t xml:space="preserve">Come esercitarlo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Accesso ai propri dati</w:t>
            </w:r>
          </w:p>
        </w:tc>
        <w:tc>
          <w:tcPr/>
          <w:p>
            <w:pPr>
              <w:pStyle w:val="Compact"/>
            </w:pPr>
            <w:r>
              <w:t xml:space="preserve">Richiesta via email a privacy@[DOMINIO] o sezione Account dell’app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Rettifica di dati inesatti</w:t>
            </w:r>
          </w:p>
        </w:tc>
        <w:tc>
          <w:tcPr/>
          <w:p>
            <w:pPr>
              <w:pStyle w:val="Compact"/>
            </w:pPr>
            <w:r>
              <w:t xml:space="preserve">Modifica diretta in app o richiesta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Cancellazione (oblio)</w:t>
            </w:r>
          </w:p>
        </w:tc>
        <w:tc>
          <w:tcPr/>
          <w:p>
            <w:pPr>
              <w:pStyle w:val="Compact"/>
            </w:pPr>
            <w:r>
              <w:t xml:space="preserve">“Cancella account” in Impostazioni — cascade entro 30gg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Limitazione del trattamento</w:t>
            </w:r>
          </w:p>
        </w:tc>
        <w:tc>
          <w:tcPr/>
          <w:p>
            <w:pPr>
              <w:pStyle w:val="Compact"/>
            </w:pPr>
            <w:r>
              <w:t xml:space="preserve">Richiesta via email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Portabilità dei dati</w:t>
            </w:r>
          </w:p>
        </w:tc>
        <w:tc>
          <w:tcPr/>
          <w:p>
            <w:pPr>
              <w:pStyle w:val="Compact"/>
            </w:pPr>
            <w:r>
              <w:t xml:space="preserve">Download in formato JSON dall’app o richiesta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Opposizione al trattamento</w:t>
            </w:r>
          </w:p>
        </w:tc>
        <w:tc>
          <w:tcPr/>
          <w:p>
            <w:pPr>
              <w:pStyle w:val="Compact"/>
            </w:pPr>
            <w:r>
              <w:t xml:space="preserve">Richiesta via email (revoca consensi anche da app)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Revoca del consenso</w:t>
            </w:r>
          </w:p>
        </w:tc>
        <w:tc>
          <w:tcPr/>
          <w:p>
            <w:pPr>
              <w:pStyle w:val="Compact"/>
            </w:pPr>
            <w:r>
              <w:t xml:space="preserve">In app per ciascuna finalità basata su consenso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 essere sottoposto a decisioni automatizzate (Art. 22)</w:t>
            </w:r>
          </w:p>
        </w:tc>
        <w:tc>
          <w:tcPr/>
          <w:p>
            <w:pPr>
              <w:pStyle w:val="Compact"/>
            </w:pPr>
            <w:r>
              <w:t xml:space="preserve">Vedi sezione 11</w:t>
            </w:r>
          </w:p>
        </w:tc>
      </w:tr>
    </w:tbl>
    <w:p>
      <w:pPr>
        <w:pStyle w:val="BodyText"/>
      </w:pPr>
      <w:r>
        <w:t xml:space="preserve">Risposta entro</w:t>
      </w:r>
      <w:r>
        <w:t xml:space="preserve"> </w:t>
      </w:r>
      <w:r>
        <w:rPr>
          <w:b/>
          <w:bCs/>
        </w:rPr>
        <w:t xml:space="preserve">30 giorni</w:t>
      </w:r>
      <w:r>
        <w:t xml:space="preserve"> </w:t>
      </w:r>
      <w:r>
        <w:t xml:space="preserve">dalla richiesta, prorogabili di ulteriori 60 giorni in casi di complessità (art. 12.3 GDPR).</w:t>
      </w:r>
    </w:p>
    <w:p>
      <w:pPr>
        <w:pStyle w:val="BodyText"/>
      </w:pPr>
      <w:r>
        <w:rPr>
          <w:b/>
          <w:bCs/>
        </w:rPr>
        <w:t xml:space="preserve">Diritto di reclamo:</w:t>
      </w:r>
      <w:r>
        <w:t xml:space="preserve"> </w:t>
      </w:r>
      <w:r>
        <w:t xml:space="preserve">è sempre possibile rivolgersi al</w:t>
      </w:r>
      <w:r>
        <w:t xml:space="preserve"> </w:t>
      </w:r>
      <w:r>
        <w:rPr>
          <w:b/>
          <w:bCs/>
        </w:rPr>
        <w:t xml:space="preserve">Garante per la Protezione dei Dati Personali</w:t>
      </w:r>
      <w:r>
        <w:t xml:space="preserve"> </w:t>
      </w:r>
      <w:r>
        <w:t xml:space="preserve">(www.garanteprivacy.it).</w:t>
      </w:r>
    </w:p>
    <w:p>
      <w:r>
        <w:pict>
          <v:rect style="width:0;height:1.5pt" o:hralign="center" o:hrstd="t" o:hr="t"/>
        </w:pict>
      </w:r>
    </w:p>
    <w:bookmarkEnd w:id="33"/>
    <w:bookmarkStart w:id="35" w:name="decisioni-automatizzate-e-profilazione"/>
    <w:p>
      <w:pPr>
        <w:pStyle w:val="Heading2"/>
      </w:pPr>
      <w:r>
        <w:t xml:space="preserve">11. Decisioni automatizzate e profilazione</w:t>
      </w:r>
    </w:p>
    <w:p>
      <w:pPr>
        <w:pStyle w:val="FirstParagraph"/>
      </w:pPr>
      <w:r>
        <w:t xml:space="preserve">A-ESP utilizza algoritmi di intelligenza artificiale per</w:t>
      </w:r>
      <w:r>
        <w:t xml:space="preserve"> </w:t>
      </w:r>
      <w:r>
        <w:rPr>
          <w:b/>
          <w:bCs/>
        </w:rPr>
        <w:t xml:space="preserve">classificare</w:t>
      </w:r>
      <w:r>
        <w:t xml:space="preserve"> </w:t>
      </w:r>
      <w:r>
        <w:t xml:space="preserve">i documenti dell’Utente (cassetto archivio, urgenza, livello di rischio economico). Tale attività configura una forma di</w:t>
      </w:r>
      <w:r>
        <w:t xml:space="preserve"> </w:t>
      </w:r>
      <w:r>
        <w:rPr>
          <w:b/>
          <w:bCs/>
        </w:rPr>
        <w:t xml:space="preserve">profilazione</w:t>
      </w:r>
      <w:r>
        <w:t xml:space="preserve"> </w:t>
      </w:r>
      <w:r>
        <w:t xml:space="preserve">ai sensi dell’Art. 4.4 GDPR.</w:t>
      </w:r>
    </w:p>
    <w:p>
      <w:pPr>
        <w:pStyle w:val="BodyText"/>
      </w:pPr>
      <w:r>
        <w:rPr>
          <w:b/>
          <w:bCs/>
        </w:rPr>
        <w:t xml:space="preserve">Caratteristiche della profilazione:</w:t>
      </w:r>
      <w:r>
        <w:t xml:space="preserve"> </w:t>
      </w:r>
      <w:r>
        <w:t xml:space="preserve">- Finalità:</w:t>
      </w:r>
      <w:r>
        <w:t xml:space="preserve"> </w:t>
      </w:r>
      <w:r>
        <w:rPr>
          <w:b/>
          <w:bCs/>
        </w:rPr>
        <w:t xml:space="preserve">organizzare</w:t>
      </w:r>
      <w:r>
        <w:t xml:space="preserve"> </w:t>
      </w:r>
      <w:r>
        <w:t xml:space="preserve">e</w:t>
      </w:r>
      <w:r>
        <w:t xml:space="preserve"> </w:t>
      </w:r>
      <w:r>
        <w:rPr>
          <w:b/>
          <w:bCs/>
        </w:rPr>
        <w:t xml:space="preserve">rendere consultabile</w:t>
      </w:r>
      <w:r>
        <w:t xml:space="preserve"> </w:t>
      </w:r>
      <w:r>
        <w:t xml:space="preserve">l’archivio dell’Utente. Le decisioni di A-ESP</w:t>
      </w:r>
      <w:r>
        <w:t xml:space="preserve"> </w:t>
      </w:r>
      <w:r>
        <w:rPr>
          <w:b/>
          <w:bCs/>
        </w:rPr>
        <w:t xml:space="preserve">NON</w:t>
      </w:r>
      <w:r>
        <w:t xml:space="preserve"> </w:t>
      </w:r>
      <w:r>
        <w:t xml:space="preserve">producono effetti giuridici diretti sull’Utente. - Output: visualizzazione organizzata in UI + notifiche di scadenza. - Logica: modelli LLM commerciali (Anthropic Claude, Google Gemini) con istruzioni di sistema descritte nella documentazione tecnica. - Conseguenze: errori di classificazione possono portare a una notifica mancata o errata, ma</w:t>
      </w:r>
      <w:r>
        <w:t xml:space="preserve"> </w:t>
      </w:r>
      <w:r>
        <w:rPr>
          <w:b/>
          <w:bCs/>
        </w:rPr>
        <w:t xml:space="preserve">mai a sanzioni o decisioni automatiche con effetti legali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Diritto di intervento umano:</w:t>
      </w:r>
      <w:r>
        <w:t xml:space="preserve"> </w:t>
      </w:r>
      <w:r>
        <w:t xml:space="preserve">l’Utente può in qualsiasi momento: - Correggere manualmente categoria, scadenza, importo di un documento; - Disattivare il pipeline AI da Impostazioni (in tal caso A-ESP funge solo da raccoglitore di metadata minimi); - Richiedere via email a privacy@[DOMINIO] una revisione manuale di una classificazione contestata.</w:t>
      </w:r>
    </w:p>
    <w:p>
      <w:pPr>
        <w:pStyle w:val="BodyText"/>
      </w:pPr>
      <w:r>
        <w:rPr>
          <w:b/>
          <w:bCs/>
        </w:rPr>
        <w:t xml:space="preserve">Trasparenza dell’AI:</w:t>
      </w:r>
      <w:r>
        <w:t xml:space="preserve"> </w:t>
      </w:r>
      <w:r>
        <w:t xml:space="preserve">dettagli aggiuntivi sull’utilizzo di intelligenza artificiale, sui modelli impiegati e sulle garanzie ZDR sono disponibili in</w:t>
      </w:r>
      <w:r>
        <w:t xml:space="preserve"> </w:t>
      </w:r>
      <w:hyperlink r:id="rId34">
        <w:r>
          <w:rPr>
            <w:rStyle w:val="VerbatimChar"/>
          </w:rPr>
          <w:t xml:space="preserve">informativa-ai-trasparenza.md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35"/>
    <w:bookmarkStart w:id="36" w:name="modifiche-allinformativa"/>
    <w:p>
      <w:pPr>
        <w:pStyle w:val="Heading2"/>
      </w:pPr>
      <w:r>
        <w:t xml:space="preserve">12. Modifiche all’informativa</w:t>
      </w:r>
    </w:p>
    <w:p>
      <w:pPr>
        <w:pStyle w:val="FirstParagraph"/>
      </w:pPr>
      <w:r>
        <w:t xml:space="preserve">La presente informativa può essere modificata. In caso di modifiche sostanziali l’Utente verrà notificato via email e con avviso prominente in app almeno 30 giorni prima dell’entrata in vigore. La versione corrente è sempre disponibile in app e su [URL]/privacy.</w:t>
      </w:r>
    </w:p>
    <w:p>
      <w:r>
        <w:pict>
          <v:rect style="width:0;height:1.5pt" o:hralign="center" o:hrstd="t" o:hr="t"/>
        </w:pict>
      </w:r>
    </w:p>
    <w:bookmarkEnd w:id="36"/>
    <w:bookmarkStart w:id="37" w:name="contatti"/>
    <w:p>
      <w:pPr>
        <w:pStyle w:val="Heading2"/>
      </w:pPr>
      <w:r>
        <w:t xml:space="preserve">13. Contatti</w:t>
      </w:r>
    </w:p>
    <w:p>
      <w:pPr>
        <w:pStyle w:val="FirstParagraph"/>
      </w:pPr>
      <w:r>
        <w:t xml:space="preserve">Per qualunque richiesta relativa al trattamento dei propri dati personali:</w:t>
      </w:r>
    </w:p>
    <w:p>
      <w:pPr>
        <w:pStyle w:val="Compact"/>
        <w:numPr>
          <w:ilvl w:val="0"/>
          <w:numId w:val="1008"/>
        </w:numPr>
      </w:pPr>
      <w:r>
        <w:t xml:space="preserve">Email:</w:t>
      </w:r>
      <w:r>
        <w:t xml:space="preserve"> </w:t>
      </w:r>
      <w:r>
        <w:rPr>
          <w:b/>
          <w:bCs/>
        </w:rPr>
        <w:t xml:space="preserve">privacy@[DOMINIO]</w:t>
      </w:r>
    </w:p>
    <w:p>
      <w:pPr>
        <w:pStyle w:val="Compact"/>
        <w:numPr>
          <w:ilvl w:val="0"/>
          <w:numId w:val="1008"/>
        </w:numPr>
      </w:pPr>
      <w:r>
        <w:t xml:space="preserve">PEC:</w:t>
      </w:r>
      <w:r>
        <w:t xml:space="preserve"> </w:t>
      </w:r>
      <w:r>
        <w:rPr>
          <w:b/>
          <w:bCs/>
        </w:rPr>
        <w:t xml:space="preserve">[INDIRIZZO PEC]</w:t>
      </w:r>
    </w:p>
    <w:p>
      <w:pPr>
        <w:pStyle w:val="Compact"/>
        <w:numPr>
          <w:ilvl w:val="0"/>
          <w:numId w:val="1008"/>
        </w:numPr>
      </w:pPr>
      <w:r>
        <w:t xml:space="preserve">Posta ordinaria: [INDIRIZZO COMPLETO]</w:t>
      </w:r>
    </w:p>
    <w:p>
      <w:pPr>
        <w:pStyle w:val="Compact"/>
        <w:numPr>
          <w:ilvl w:val="0"/>
          <w:numId w:val="1008"/>
        </w:numPr>
      </w:pPr>
      <w:r>
        <w:t xml:space="preserve">DPO:</w:t>
      </w:r>
      <w:r>
        <w:t xml:space="preserve"> </w:t>
      </w:r>
      <w:r>
        <w:rPr>
          <w:b/>
          <w:bCs/>
        </w:rPr>
        <w:t xml:space="preserve">dpo@[DOMINIO]</w:t>
      </w:r>
      <w:r>
        <w:t xml:space="preserve"> </w:t>
      </w:r>
      <w:r>
        <w:t xml:space="preserve">[se nominato]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DRAFT — pendente revisione consulente legale. Non pubblicare prima della validazione formale.</w:t>
      </w:r>
    </w:p>
    <w:bookmarkEnd w:id="37"/>
    <w:bookmarkEnd w:id="38"/>
    <w:sectPr>
      <w:headerReference r:id="rId9" w:type="default"/>
      <w:footerReference r:id="rId10" w:type="default"/>
      <w:footnotePr>
        <w:numRestart w:val="eachSect"/>
      </w:footnotePr>
      <w:pgSz w:h="16838" w:w="11906"/>
      <w:pgMar w:bottom="1134" w:footer="709" w:header="709" w:left="1134" w:right="1134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06060"/>
        <w:sz w:val="18"/>
      </w:rPr>
      <w:t xml:space="preserve">Pag. </w:t>
    </w:r>
    <w:r>
      <w:rPr>
        <w:rFonts w:ascii="Times New Roman" w:hAnsi="Times New Roman"/>
        <w:color w:val="606060"/>
        <w:sz w:val="18"/>
      </w:rPr>
      <w:fldChar w:fldCharType="begin"/>
      <w:instrText xml:space="preserve"> PAGE </w:instrText>
      <w:fldChar w:fldCharType="separate"/>
      <w:t/>
      <w:fldChar w:fldCharType="end"/>
    </w:r>
    <w:r>
      <w:rPr>
        <w:rFonts w:ascii="Times New Roman" w:hAnsi="Times New Roman"/>
        <w:color w:val="606060"/>
        <w:sz w:val="18"/>
      </w:rPr>
      <w:t xml:space="preserve"> di </w:t>
    </w:r>
    <w:r>
      <w:rPr>
        <w:rFonts w:ascii="Times New Roman" w:hAnsi="Times New Roman"/>
        <w:color w:val="606060"/>
        <w:sz w:val="18"/>
      </w:rPr>
      <w:fldChar w:fldCharType="begin"/>
      <w:instrText xml:space="preserve"> NUMPAGES </w:instrText>
      <w:fldChar w:fldCharType="separate"/>
      <w:t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color w:val="808080"/>
        <w:sz w:val="18"/>
      </w:rPr>
      <w:fldChar w:fldCharType="begin"/>
      <w:instrText xml:space="preserve"> TITLE  \* MERGEFORMAT </w:instrText>
      <w:fldChar w:fldCharType="separate"/>
      <w:t/>
      <w:fldChar w:fldCharType="end"/>
    </w:r>
    <w:r>
      <w:rPr>
        <w:rFonts w:ascii="Times New Roman" w:hAnsi="Times New Roman"/>
        <w:color w:val="808080"/>
        <w:sz w:val="18"/>
      </w:rPr>
      <w:t xml:space="preserve"> — DRAFT v1.0 — 14/05/2026</w:t>
    </w: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it-IT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Times New Roman" w:cs="Times New Roman" w:hAnsi="Times New Roman"/>
      <w:b w:val="0"/>
      <w:color w:val="000000"/>
      <w:sz w:val="24"/>
    </w:rPr>
  </w:style>
  <w:style w:styleId="BodyText" w:type="paragraph">
    <w:name w:val="Body Text"/>
    <w:basedOn w:val="Normal"/>
    <w:link w:val="BodyTextChar"/>
    <w:qFormat/>
    <w:pPr>
      <w:spacing w:after="180" w:before="180"/>
    </w:pPr>
    <w:rPr>
      <w:rFonts w:ascii="Times New Roman" w:cs="Times New Roman" w:hAnsi="Times New Roman"/>
      <w:b w:val="0"/>
      <w:color w:val="000000"/>
      <w:sz w:val="24"/>
    </w:r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="Times New Roman" w:cs="Times New Roman" w:hAnsi="Times New Roman"/>
      <w:b/>
      <w:color w:val="8C1A23"/>
      <w:sz w:val="52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="Times New Roman" w:cs="Times New Roman" w:hAnsi="Times New Roman"/>
      <w:b/>
      <w:color w:val="8C1A23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="Times New Roman" w:cs="Times New Roman" w:hAnsi="Times New Roman"/>
      <w:b/>
      <w:color w:val="8C1A23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ascii="Times New Roman" w:cs="Times New Roman" w:hAnsi="Times New Roman"/>
      <w:b/>
      <w:color w:val="8C1A23"/>
      <w:sz w:val="26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8" Type="http://schemas.openxmlformats.org/officeDocument/2006/relationships/hyperlink" Target="./elenco-sub-processor.md" TargetMode="External"/><Relationship Id="rId34" Type="http://schemas.openxmlformats.org/officeDocument/2006/relationships/hyperlink" Target="./informativa-ai-trasparenza.md" TargetMode="External"/></Relationships>
</file>

<file path=word/_rels/footnotes.xml.rels><?xml version='1.0' encoding='UTF-8' standalone='yes'?>
<Relationships xmlns="http://schemas.openxmlformats.org/package/2006/relationships"><Relationship Id="rId28" Type="http://schemas.openxmlformats.org/officeDocument/2006/relationships/hyperlink" Target="./elenco-sub-processor.md" TargetMode="External"/><Relationship Id="rId34" Type="http://schemas.openxmlformats.org/officeDocument/2006/relationships/hyperlink" Target="./informativa-ai-trasparenz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sul Trattamento dei Dati Personali</dc:title>
  <dc:creator>A-ESP — Bozza per consulenza legale</dc:creator>
  <dc:language>it-IT</dc:language>
  <dc:subject>Documento legale draft v1.0 (pendente revisione consulente)</dc:subject>
  <cp:keywords/>
  <dcterms:created xsi:type="dcterms:W3CDTF">2026-05-14T09:28:23Z</dcterms:created>
  <dcterms:modified xsi:type="dcterms:W3CDTF">2026-05-14T09:28:23Z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14/05/2026</vt:lpwstr>
  </property>
</Properties>
</file>